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103E0" w14:textId="3B3A769C" w:rsidR="00CE5852" w:rsidRPr="000004DB" w:rsidRDefault="00D55EBD" w:rsidP="00AE1636">
      <w:pPr>
        <w:spacing w:after="0" w:line="276" w:lineRule="auto"/>
        <w:jc w:val="center"/>
        <w:rPr>
          <w:rFonts w:ascii="Times New Roman" w:hAnsi="Times New Roman" w:cs="Times New Roman"/>
          <w:b/>
          <w:bCs/>
          <w:sz w:val="28"/>
          <w:szCs w:val="28"/>
        </w:rPr>
      </w:pPr>
      <w:bookmarkStart w:id="0" w:name="_Hlk130040710"/>
      <w:bookmarkStart w:id="1" w:name="_Hlk193707679"/>
      <w:bookmarkStart w:id="2" w:name="_Hlk131876263"/>
      <w:r w:rsidRPr="000004DB">
        <w:rPr>
          <w:rFonts w:ascii="Times New Roman" w:hAnsi="Times New Roman" w:cs="Times New Roman"/>
          <w:b/>
          <w:bCs/>
          <w:sz w:val="28"/>
          <w:szCs w:val="28"/>
        </w:rPr>
        <w:t xml:space="preserve">The Role of </w:t>
      </w:r>
      <w:r w:rsidR="0053106D" w:rsidRPr="000004DB">
        <w:rPr>
          <w:rFonts w:ascii="Times New Roman" w:hAnsi="Times New Roman" w:cs="Times New Roman"/>
          <w:b/>
          <w:bCs/>
          <w:sz w:val="28"/>
          <w:szCs w:val="28"/>
        </w:rPr>
        <w:t>Digital Transformation and Incoterm Selection</w:t>
      </w:r>
      <w:r w:rsidRPr="000004DB">
        <w:rPr>
          <w:rFonts w:ascii="Times New Roman" w:hAnsi="Times New Roman" w:cs="Times New Roman"/>
          <w:b/>
          <w:bCs/>
          <w:sz w:val="28"/>
          <w:szCs w:val="28"/>
        </w:rPr>
        <w:t xml:space="preserve"> in</w:t>
      </w:r>
      <w:r w:rsidR="00506FBD" w:rsidRPr="000004DB">
        <w:rPr>
          <w:rFonts w:ascii="Times New Roman" w:hAnsi="Times New Roman" w:cs="Times New Roman"/>
          <w:b/>
          <w:bCs/>
          <w:sz w:val="28"/>
          <w:szCs w:val="28"/>
        </w:rPr>
        <w:t xml:space="preserve"> Enhancing</w:t>
      </w:r>
      <w:r w:rsidR="00E20F37" w:rsidRPr="000004DB">
        <w:rPr>
          <w:rFonts w:ascii="Times New Roman" w:hAnsi="Times New Roman" w:cs="Times New Roman"/>
          <w:b/>
          <w:bCs/>
          <w:sz w:val="28"/>
          <w:szCs w:val="28"/>
        </w:rPr>
        <w:t xml:space="preserve"> Competitive</w:t>
      </w:r>
      <w:r w:rsidR="00CB4D68" w:rsidRPr="000004DB">
        <w:rPr>
          <w:rFonts w:ascii="Times New Roman" w:hAnsi="Times New Roman" w:cs="Times New Roman"/>
          <w:b/>
          <w:bCs/>
          <w:sz w:val="28"/>
          <w:szCs w:val="28"/>
        </w:rPr>
        <w:t xml:space="preserve"> Advantage</w:t>
      </w:r>
      <w:r w:rsidR="00E20F37" w:rsidRPr="000004DB">
        <w:rPr>
          <w:rFonts w:ascii="Times New Roman" w:hAnsi="Times New Roman" w:cs="Times New Roman"/>
          <w:b/>
          <w:bCs/>
          <w:sz w:val="28"/>
          <w:szCs w:val="28"/>
        </w:rPr>
        <w:t xml:space="preserve">: </w:t>
      </w:r>
      <w:r w:rsidR="00506FBD" w:rsidRPr="000004DB">
        <w:rPr>
          <w:rFonts w:ascii="Times New Roman" w:hAnsi="Times New Roman" w:cs="Times New Roman"/>
          <w:b/>
          <w:bCs/>
          <w:sz w:val="28"/>
          <w:szCs w:val="28"/>
        </w:rPr>
        <w:t xml:space="preserve">Evidence from </w:t>
      </w:r>
      <w:r w:rsidRPr="000004DB">
        <w:rPr>
          <w:rFonts w:ascii="Times New Roman" w:hAnsi="Times New Roman" w:cs="Times New Roman"/>
          <w:b/>
          <w:bCs/>
          <w:sz w:val="28"/>
          <w:szCs w:val="28"/>
        </w:rPr>
        <w:t xml:space="preserve">Indonesian </w:t>
      </w:r>
      <w:r w:rsidR="0042681A" w:rsidRPr="000004DB">
        <w:rPr>
          <w:rFonts w:ascii="Times New Roman" w:hAnsi="Times New Roman" w:cs="Times New Roman"/>
          <w:b/>
          <w:bCs/>
          <w:sz w:val="28"/>
          <w:szCs w:val="28"/>
        </w:rPr>
        <w:t xml:space="preserve">Freight Forwarders </w:t>
      </w:r>
      <w:bookmarkEnd w:id="0"/>
    </w:p>
    <w:p w14:paraId="3904ED27" w14:textId="77777777" w:rsidR="00AE1636" w:rsidRPr="00AE1636" w:rsidRDefault="00AE1636" w:rsidP="00AE1636">
      <w:pPr>
        <w:spacing w:after="0" w:line="276" w:lineRule="auto"/>
        <w:jc w:val="center"/>
        <w:rPr>
          <w:rFonts w:ascii="Times New Roman" w:hAnsi="Times New Roman" w:cs="Times New Roman"/>
          <w:b/>
          <w:bCs/>
          <w:sz w:val="24"/>
          <w:szCs w:val="24"/>
        </w:rPr>
      </w:pPr>
    </w:p>
    <w:p w14:paraId="53B75C62" w14:textId="77777777" w:rsidR="00CA3542" w:rsidRPr="003D20B4" w:rsidRDefault="00CA3542" w:rsidP="00CA3542">
      <w:pPr>
        <w:spacing w:after="0" w:line="276" w:lineRule="auto"/>
        <w:jc w:val="center"/>
        <w:rPr>
          <w:rFonts w:ascii="Times New Roman" w:eastAsia="Calibri" w:hAnsi="Times New Roman" w:cs="Times New Roman"/>
          <w:b/>
          <w:bCs/>
        </w:rPr>
      </w:pPr>
      <w:r w:rsidRPr="003D20B4">
        <w:rPr>
          <w:rFonts w:ascii="Times New Roman" w:eastAsia="Calibri" w:hAnsi="Times New Roman" w:cs="Times New Roman"/>
          <w:b/>
          <w:bCs/>
        </w:rPr>
        <w:t xml:space="preserve">Ahmad Sugiono*, Agus Rahayu, Lili Adi Wibowo, Ratih </w:t>
      </w:r>
      <w:proofErr w:type="spellStart"/>
      <w:r w:rsidRPr="003D20B4">
        <w:rPr>
          <w:rFonts w:ascii="Times New Roman" w:eastAsia="Calibri" w:hAnsi="Times New Roman" w:cs="Times New Roman"/>
          <w:b/>
          <w:bCs/>
        </w:rPr>
        <w:t>Hurriyati</w:t>
      </w:r>
      <w:proofErr w:type="spellEnd"/>
    </w:p>
    <w:p w14:paraId="3551D97F" w14:textId="54B9D5A9" w:rsidR="00801A2B" w:rsidRDefault="00CA3542" w:rsidP="00CA3542">
      <w:pPr>
        <w:spacing w:after="0" w:line="276" w:lineRule="auto"/>
        <w:jc w:val="center"/>
        <w:rPr>
          <w:rFonts w:ascii="Times New Roman" w:eastAsia="Calibri" w:hAnsi="Times New Roman" w:cs="Times New Roman"/>
        </w:rPr>
      </w:pPr>
      <w:r w:rsidRPr="00CA3542">
        <w:rPr>
          <w:rFonts w:ascii="Times New Roman" w:eastAsia="Calibri" w:hAnsi="Times New Roman" w:cs="Times New Roman"/>
        </w:rPr>
        <w:t>Universitas Pendidikan Indonesia</w:t>
      </w:r>
      <w:r w:rsidR="008250E0">
        <w:rPr>
          <w:rFonts w:ascii="Times New Roman" w:eastAsia="Calibri" w:hAnsi="Times New Roman" w:cs="Times New Roman"/>
        </w:rPr>
        <w:t>, Indonesia</w:t>
      </w:r>
    </w:p>
    <w:p w14:paraId="4EFD6474" w14:textId="1BAF7616" w:rsidR="00CE5852" w:rsidRPr="00C3437C" w:rsidRDefault="00CA3542" w:rsidP="00CA3542">
      <w:pPr>
        <w:spacing w:after="0" w:line="276" w:lineRule="auto"/>
        <w:jc w:val="center"/>
        <w:rPr>
          <w:rFonts w:ascii="Times New Roman" w:eastAsia="Calibri" w:hAnsi="Times New Roman" w:cs="Times New Roman"/>
          <w:lang w:val="en-US"/>
        </w:rPr>
      </w:pPr>
      <w:r w:rsidRPr="00CA3542">
        <w:rPr>
          <w:rFonts w:ascii="Times New Roman" w:eastAsia="Calibri" w:hAnsi="Times New Roman" w:cs="Times New Roman"/>
        </w:rPr>
        <w:t>Email: ahmadsugiono@upi.edu*, agusrahayu@upi.edu, liliadiwibowo2021@gmail.com, rhurriyati@upi.edu</w:t>
      </w:r>
    </w:p>
    <w:p w14:paraId="0D2D344B" w14:textId="1C6960B5" w:rsidR="00CE5852" w:rsidRPr="00C3437C" w:rsidRDefault="00CE5852" w:rsidP="00AE1636">
      <w:pPr>
        <w:spacing w:after="0" w:line="276" w:lineRule="auto"/>
        <w:contextualSpacing/>
        <w:jc w:val="center"/>
        <w:rPr>
          <w:rFonts w:ascii="Times New Roman" w:eastAsia="Calibri" w:hAnsi="Times New Roman" w:cs="Times New Roman"/>
          <w:lang w:val="en-US"/>
        </w:rPr>
      </w:pPr>
      <w:r w:rsidRPr="00C3437C">
        <w:rPr>
          <w:rFonts w:ascii="Times New Roman" w:eastAsia="Calibri" w:hAnsi="Times New Roman" w:cs="Times New Roman"/>
          <w:noProof/>
          <w:lang w:val="en-US"/>
        </w:rPr>
        <mc:AlternateContent>
          <mc:Choice Requires="wps">
            <w:drawing>
              <wp:anchor distT="4294967295" distB="4294967295" distL="114300" distR="114300" simplePos="0" relativeHeight="251660288" behindDoc="0" locked="0" layoutInCell="1" allowOverlap="1" wp14:anchorId="6B23A5D3" wp14:editId="519D9014">
                <wp:simplePos x="0" y="0"/>
                <wp:positionH relativeFrom="column">
                  <wp:posOffset>0</wp:posOffset>
                </wp:positionH>
                <wp:positionV relativeFrom="paragraph">
                  <wp:posOffset>-636</wp:posOffset>
                </wp:positionV>
                <wp:extent cx="572452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A08FE4F" id="_x0000_t32" coordsize="21600,21600" o:spt="32" o:oned="t" path="m,l21600,21600e" filled="f">
                <v:path arrowok="t" fillok="f" o:connecttype="none"/>
                <o:lock v:ext="edit" shapetype="t"/>
              </v:shapetype>
              <v:shape id="Straight Arrow Connector 9" o:spid="_x0000_s1026" type="#_x0000_t32" style="position:absolute;margin-left:0;margin-top:-.05pt;width:450.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Pr="00C3437C">
        <w:rPr>
          <w:rFonts w:ascii="Times New Roman" w:eastAsia="Calibri" w:hAnsi="Times New Roman" w:cs="Times New Roman"/>
          <w:b/>
          <w:i/>
          <w:lang w:val="en-US"/>
        </w:rPr>
        <w:t>Abstract:</w:t>
      </w:r>
    </w:p>
    <w:p w14:paraId="1A3BCCEF" w14:textId="28470600" w:rsidR="00CE5852" w:rsidRPr="00C3437C" w:rsidRDefault="00362781" w:rsidP="00AE1636">
      <w:pPr>
        <w:tabs>
          <w:tab w:val="left" w:pos="8175"/>
        </w:tabs>
        <w:spacing w:after="0" w:line="276" w:lineRule="auto"/>
        <w:jc w:val="both"/>
        <w:rPr>
          <w:rFonts w:ascii="Times New Roman" w:eastAsia="Calibri" w:hAnsi="Times New Roman" w:cs="Times New Roman"/>
          <w:i/>
          <w:lang w:val="en-US"/>
        </w:rPr>
      </w:pPr>
      <w:r w:rsidRPr="00362781">
        <w:rPr>
          <w:rFonts w:ascii="Times New Roman" w:eastAsia="Calibri" w:hAnsi="Times New Roman" w:cs="Times New Roman"/>
          <w:i/>
          <w:iCs/>
          <w:lang w:val="en-US"/>
        </w:rPr>
        <w:t>The freight forwarding industry faces unprecedented challenges from digitalization pressures and complex international trade regulations, creating critical gaps in understanding how technological and contractual strategies jointly influence competitive positioning. This research investigates the influence of digital transformation and Incoterm selection on the competitive advantage of freight forwarding firms in Indonesia, addressing the limited empirical evidence on their combined effects within emerging market contexts. The study aims to examine whether digital tools adoption (e-documentation, real-time tracking, system integration) and strategic Incoterm choices (risk management, cost control, delivery responsibility, flexibility) significantly contribute to firms' competitive strengths. Data were collected from 130 freight forwarding companies in Indonesia through a structured questionnaire using purposive sampling. Digital transformation was measured through three indicators (e-documentation, real-time tracking, system integration), Incoterm selection through four indicators (risk management, cost control, delivery responsibility, flexibility), and competitive advantage through five indicators (cost efficiency, reliability, speed, flexibility, innovation). Structural Equation Modeling–Partial Least Squares (SEM-PLS) was employed to test the hypotheses. The results reveal that both digital transformation (coefficient=0.495, t=5.232, p&lt;0.001) and Incoterm selection (coefficient=0.487, t=5.119, p&lt;0.001) significantly enhance competitive advantage, explaining 94.7% of the variance. Digital tools strengthen service reliability and operational efficiency, while strategic Incoterm choices improve risk sharing, cost control, and customer responsiveness. The study provides novel evidence on how digital transformation and Incoterm selection jointly shape competitive advantage in developing country freight forwarding sectors, suggesting that firms should integrate digital technologies with flexible Incoterm strategies to sustain competitiveness in dynamic logistics environments</w:t>
      </w:r>
      <w:r w:rsidR="005C762F" w:rsidRPr="00C3437C">
        <w:rPr>
          <w:rFonts w:ascii="Times New Roman" w:eastAsia="Calibri" w:hAnsi="Times New Roman" w:cs="Times New Roman"/>
          <w:i/>
          <w:iCs/>
          <w:lang w:val="en-US"/>
        </w:rPr>
        <w:t>.</w:t>
      </w:r>
    </w:p>
    <w:p w14:paraId="03319C55" w14:textId="77777777" w:rsidR="00CE5852" w:rsidRPr="00C3437C" w:rsidRDefault="00CE5852" w:rsidP="00AE1636">
      <w:pPr>
        <w:tabs>
          <w:tab w:val="left" w:pos="8175"/>
        </w:tabs>
        <w:spacing w:after="0" w:line="276" w:lineRule="auto"/>
        <w:jc w:val="both"/>
        <w:rPr>
          <w:rFonts w:ascii="Times New Roman" w:eastAsia="Calibri" w:hAnsi="Times New Roman" w:cs="Times New Roman"/>
          <w:b/>
          <w:i/>
          <w:lang w:val="en-US"/>
        </w:rPr>
      </w:pPr>
    </w:p>
    <w:p w14:paraId="21472280" w14:textId="51A0A2C7" w:rsidR="00CE5852" w:rsidRPr="00C3437C" w:rsidRDefault="00CE5852" w:rsidP="00AE1636">
      <w:pPr>
        <w:tabs>
          <w:tab w:val="left" w:pos="8175"/>
        </w:tabs>
        <w:spacing w:after="0" w:line="276" w:lineRule="auto"/>
        <w:jc w:val="both"/>
        <w:rPr>
          <w:rFonts w:ascii="Times New Roman" w:eastAsia="Calibri" w:hAnsi="Times New Roman" w:cs="Times New Roman"/>
          <w:lang w:val="en-US"/>
        </w:rPr>
      </w:pPr>
      <w:r w:rsidRPr="00C3437C">
        <w:rPr>
          <w:rFonts w:ascii="Times New Roman" w:eastAsia="Calibri" w:hAnsi="Times New Roman" w:cs="Times New Roman"/>
          <w:b/>
          <w:i/>
          <w:lang w:val="en-US"/>
        </w:rPr>
        <w:t>Keywords</w:t>
      </w:r>
      <w:r w:rsidRPr="00C3437C">
        <w:rPr>
          <w:rFonts w:ascii="Times New Roman" w:eastAsia="Calibri" w:hAnsi="Times New Roman" w:cs="Times New Roman"/>
          <w:i/>
          <w:lang w:val="en-US"/>
        </w:rPr>
        <w:t>:</w:t>
      </w:r>
      <w:r w:rsidRPr="00C3437C">
        <w:rPr>
          <w:rFonts w:ascii="Times New Roman" w:eastAsia="Calibri" w:hAnsi="Times New Roman" w:cs="Times New Roman"/>
          <w:lang w:val="en-US"/>
        </w:rPr>
        <w:t xml:space="preserve"> </w:t>
      </w:r>
      <w:r w:rsidR="00362781" w:rsidRPr="00362781">
        <w:rPr>
          <w:rFonts w:ascii="Times New Roman" w:eastAsia="Calibri" w:hAnsi="Times New Roman" w:cs="Times New Roman"/>
          <w:i/>
          <w:iCs/>
          <w:lang w:val="en-US"/>
        </w:rPr>
        <w:t>Competitive Advantage, Digital Transformation, Freight Forwarding, Incoterms Selection, Indonesia</w:t>
      </w:r>
      <w:r w:rsidRPr="00C3437C">
        <w:rPr>
          <w:rFonts w:ascii="Times New Roman" w:eastAsia="Calibri" w:hAnsi="Times New Roman" w:cs="Times New Roman"/>
          <w:lang w:val="en-US"/>
        </w:rPr>
        <w:tab/>
      </w:r>
    </w:p>
    <w:p w14:paraId="41035621" w14:textId="35C4919A" w:rsidR="00CE5852" w:rsidRPr="00C3437C" w:rsidRDefault="00CE5852" w:rsidP="00AE1636">
      <w:pPr>
        <w:tabs>
          <w:tab w:val="left" w:pos="8175"/>
        </w:tabs>
        <w:spacing w:after="0" w:line="276" w:lineRule="auto"/>
        <w:jc w:val="right"/>
        <w:rPr>
          <w:rFonts w:ascii="Times New Roman" w:eastAsia="Calibri" w:hAnsi="Times New Roman" w:cs="Times New Roman"/>
          <w:lang w:val="en-US"/>
        </w:rPr>
      </w:pPr>
      <w:r w:rsidRPr="00C3437C">
        <w:rPr>
          <w:rFonts w:ascii="Times New Roman" w:eastAsia="Calibri" w:hAnsi="Times New Roman" w:cs="Times New Roman"/>
          <w:noProof/>
          <w:lang w:val="en-US"/>
        </w:rPr>
        <mc:AlternateContent>
          <mc:Choice Requires="wps">
            <w:drawing>
              <wp:anchor distT="4294967295" distB="4294967295" distL="114300" distR="114300" simplePos="0" relativeHeight="251659264" behindDoc="0" locked="0" layoutInCell="1" allowOverlap="1" wp14:anchorId="24AD35FF" wp14:editId="23FD2C3D">
                <wp:simplePos x="0" y="0"/>
                <wp:positionH relativeFrom="column">
                  <wp:posOffset>0</wp:posOffset>
                </wp:positionH>
                <wp:positionV relativeFrom="paragraph">
                  <wp:posOffset>-636</wp:posOffset>
                </wp:positionV>
                <wp:extent cx="5724525"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6B7050" id="Straight Arrow Connector 8" o:spid="_x0000_s1026" type="#_x0000_t32" style="position:absolute;margin-left:0;margin-top:-.05pt;width:450.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Pr="00C3437C">
        <w:rPr>
          <w:rFonts w:ascii="Times New Roman" w:eastAsia="Calibri" w:hAnsi="Times New Roman" w:cs="Times New Roman"/>
          <w:i/>
          <w:lang w:val="en-US"/>
        </w:rPr>
        <w:t>Corresponding</w:t>
      </w:r>
      <w:r w:rsidRPr="00C3437C">
        <w:rPr>
          <w:rFonts w:ascii="Times New Roman" w:eastAsia="Calibri" w:hAnsi="Times New Roman" w:cs="Times New Roman"/>
          <w:lang w:val="en-US"/>
        </w:rPr>
        <w:t xml:space="preserve">: </w:t>
      </w:r>
      <w:r w:rsidR="005C762F" w:rsidRPr="00C3437C">
        <w:rPr>
          <w:rFonts w:ascii="Times New Roman" w:eastAsia="Calibri" w:hAnsi="Times New Roman" w:cs="Times New Roman"/>
          <w:lang w:val="en-US"/>
        </w:rPr>
        <w:t>Ahmad Sugiono</w:t>
      </w:r>
    </w:p>
    <w:p w14:paraId="380C015C" w14:textId="355B3DCC" w:rsidR="00CE5852" w:rsidRPr="00C3437C" w:rsidRDefault="00CE5852" w:rsidP="00AE1636">
      <w:pPr>
        <w:spacing w:after="0" w:line="276" w:lineRule="auto"/>
        <w:jc w:val="right"/>
        <w:rPr>
          <w:rFonts w:ascii="Times New Roman" w:eastAsia="Calibri" w:hAnsi="Times New Roman" w:cs="Times New Roman"/>
          <w:lang w:val="en-US"/>
        </w:rPr>
      </w:pPr>
      <w:r w:rsidRPr="00C3437C">
        <w:rPr>
          <w:rFonts w:ascii="Times New Roman" w:eastAsia="Calibri" w:hAnsi="Times New Roman" w:cs="Times New Roman"/>
          <w:lang w:val="en-US"/>
        </w:rPr>
        <w:t xml:space="preserve">E-mail: </w:t>
      </w:r>
      <w:r w:rsidR="005C762F" w:rsidRPr="00C3437C">
        <w:rPr>
          <w:rFonts w:ascii="Times New Roman" w:eastAsia="Calibri" w:hAnsi="Times New Roman" w:cs="Times New Roman"/>
          <w:lang w:val="en-US"/>
        </w:rPr>
        <w:t>ahmadsugiono@upi.edu</w:t>
      </w:r>
      <w:r w:rsidRPr="00C3437C">
        <w:rPr>
          <w:rFonts w:ascii="Times New Roman" w:eastAsia="Calibri" w:hAnsi="Times New Roman" w:cs="Times New Roman"/>
          <w:lang w:val="en-US"/>
        </w:rPr>
        <w:t xml:space="preserve"> </w:t>
      </w:r>
    </w:p>
    <w:p w14:paraId="3F9D0A4D" w14:textId="77777777" w:rsidR="00CE5852" w:rsidRPr="00C3437C" w:rsidRDefault="00CE5852" w:rsidP="00AE1636">
      <w:pPr>
        <w:spacing w:after="0" w:line="276" w:lineRule="auto"/>
        <w:jc w:val="right"/>
        <w:rPr>
          <w:rFonts w:ascii="Times New Roman" w:eastAsia="Calibri" w:hAnsi="Times New Roman" w:cs="Times New Roman"/>
          <w:lang w:val="en-US"/>
        </w:rPr>
      </w:pPr>
      <w:r w:rsidRPr="00C3437C">
        <w:rPr>
          <w:rFonts w:ascii="Times New Roman" w:eastAsia="Calibri" w:hAnsi="Times New Roman" w:cs="Times New Roman"/>
          <w:b/>
          <w:bCs/>
          <w:noProof/>
          <w:color w:val="0000FF"/>
          <w:lang w:val="en-US"/>
        </w:rPr>
        <w:drawing>
          <wp:inline distT="0" distB="0" distL="0" distR="0" wp14:anchorId="4296E744" wp14:editId="32330401">
            <wp:extent cx="838200" cy="295275"/>
            <wp:effectExtent l="0" t="0" r="0" b="9525"/>
            <wp:docPr id="4" name="Picture 4" descr="https://jurnal.syntax-idea.co.id/public/site/images/idea/88x31.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06A10AB0" w14:textId="77777777" w:rsidR="00CE5852" w:rsidRPr="00C3437C" w:rsidRDefault="00CE5852" w:rsidP="00AE1636">
      <w:pPr>
        <w:spacing w:after="0" w:line="276" w:lineRule="auto"/>
        <w:ind w:right="1440"/>
        <w:jc w:val="both"/>
        <w:rPr>
          <w:rFonts w:ascii="Times New Roman" w:eastAsia="Calibri" w:hAnsi="Times New Roman" w:cs="Times New Roman"/>
          <w:b/>
          <w:sz w:val="24"/>
          <w:szCs w:val="24"/>
          <w:lang w:val="en-US"/>
        </w:rPr>
      </w:pPr>
    </w:p>
    <w:bookmarkEnd w:id="1"/>
    <w:p w14:paraId="68983B13" w14:textId="77777777" w:rsidR="005C762F" w:rsidRPr="00C3437C" w:rsidRDefault="005C762F" w:rsidP="00AE1636">
      <w:pPr>
        <w:spacing w:after="0" w:line="276" w:lineRule="auto"/>
        <w:rPr>
          <w:rFonts w:ascii="Times New Roman" w:hAnsi="Times New Roman" w:cs="Times New Roman"/>
          <w:b/>
          <w:bCs/>
          <w:sz w:val="24"/>
          <w:szCs w:val="24"/>
        </w:rPr>
      </w:pPr>
    </w:p>
    <w:p w14:paraId="23CA4488" w14:textId="50FBD7F2" w:rsidR="00E20F37" w:rsidRPr="000004DB" w:rsidRDefault="00E20F37" w:rsidP="00AE1636">
      <w:pPr>
        <w:spacing w:after="0" w:line="276" w:lineRule="auto"/>
        <w:rPr>
          <w:rFonts w:ascii="Times New Roman" w:hAnsi="Times New Roman" w:cs="Times New Roman"/>
          <w:b/>
          <w:bCs/>
          <w:sz w:val="24"/>
          <w:szCs w:val="24"/>
        </w:rPr>
      </w:pPr>
      <w:r w:rsidRPr="000004DB">
        <w:rPr>
          <w:rFonts w:ascii="Times New Roman" w:hAnsi="Times New Roman" w:cs="Times New Roman"/>
          <w:b/>
          <w:bCs/>
          <w:sz w:val="24"/>
          <w:szCs w:val="24"/>
        </w:rPr>
        <w:t>Introduction</w:t>
      </w:r>
    </w:p>
    <w:p w14:paraId="11E2A90C" w14:textId="77777777" w:rsidR="005C762F" w:rsidRPr="000004DB" w:rsidRDefault="00C923DF" w:rsidP="00AE1636">
      <w:pPr>
        <w:spacing w:after="0" w:line="276" w:lineRule="auto"/>
        <w:ind w:firstLine="567"/>
        <w:jc w:val="both"/>
        <w:rPr>
          <w:rStyle w:val="rynqvb"/>
          <w:rFonts w:ascii="Times New Roman" w:hAnsi="Times New Roman" w:cs="Times New Roman"/>
          <w:sz w:val="24"/>
          <w:szCs w:val="24"/>
          <w:lang w:val="en"/>
        </w:rPr>
      </w:pPr>
      <w:r w:rsidRPr="000004DB">
        <w:rPr>
          <w:rStyle w:val="rynqvb"/>
          <w:rFonts w:ascii="Times New Roman" w:hAnsi="Times New Roman" w:cs="Times New Roman"/>
          <w:sz w:val="24"/>
          <w:szCs w:val="24"/>
          <w:lang w:val="en"/>
        </w:rPr>
        <w:t>Global supply chains are increasingly shaped by digital transformation and contractual arrangements such as Incoterms, which determine risk and cost allocation in international trade.</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In the freight forwarding sector, digitalization is no longer optional but a necessity to ensure efficiency, transparency, and service quality.</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Meanwhile, the choice of Incoterms has strategic implications for managing responsibilities and competitiveness in cross-border logistics.</w:t>
      </w:r>
      <w:r w:rsidR="005C762F"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In emerging markets </w:t>
      </w:r>
      <w:r w:rsidR="00DA3AED" w:rsidRPr="000004DB">
        <w:rPr>
          <w:rStyle w:val="rynqvb"/>
          <w:rFonts w:ascii="Times New Roman" w:hAnsi="Times New Roman" w:cs="Times New Roman"/>
          <w:sz w:val="24"/>
          <w:szCs w:val="24"/>
          <w:lang w:val="en"/>
        </w:rPr>
        <w:t xml:space="preserve">like Indonesia, where freight forwarding plays a crucial role in facilitating </w:t>
      </w:r>
      <w:r w:rsidR="00DA3AED" w:rsidRPr="000004DB">
        <w:rPr>
          <w:rStyle w:val="rynqvb"/>
          <w:rFonts w:ascii="Times New Roman" w:hAnsi="Times New Roman" w:cs="Times New Roman"/>
          <w:sz w:val="24"/>
          <w:szCs w:val="24"/>
          <w:lang w:val="en"/>
        </w:rPr>
        <w:lastRenderedPageBreak/>
        <w:t>international trade, integrating digital tools and selecting the appropriate Incoterms becomes essential for</w:t>
      </w:r>
      <w:r w:rsidR="00FC6D9A" w:rsidRPr="000004DB">
        <w:rPr>
          <w:rStyle w:val="rynqvb"/>
          <w:rFonts w:ascii="Times New Roman" w:hAnsi="Times New Roman" w:cs="Times New Roman"/>
          <w:sz w:val="24"/>
          <w:szCs w:val="24"/>
          <w:lang w:val="en"/>
        </w:rPr>
        <w:t xml:space="preserve"> sustaining a</w:t>
      </w:r>
      <w:r w:rsidRPr="000004DB">
        <w:rPr>
          <w:rStyle w:val="rynqvb"/>
          <w:rFonts w:ascii="Times New Roman" w:hAnsi="Times New Roman" w:cs="Times New Roman"/>
          <w:sz w:val="24"/>
          <w:szCs w:val="24"/>
          <w:lang w:val="en"/>
        </w:rPr>
        <w:t xml:space="preserve"> competitive advantage.</w:t>
      </w:r>
      <w:r w:rsidR="00FC6D9A" w:rsidRPr="000004DB">
        <w:rPr>
          <w:rStyle w:val="rynqvb"/>
          <w:rFonts w:ascii="Times New Roman" w:hAnsi="Times New Roman" w:cs="Times New Roman"/>
          <w:sz w:val="24"/>
          <w:szCs w:val="24"/>
          <w:lang w:val="en"/>
        </w:rPr>
        <w:t xml:space="preserve"> </w:t>
      </w:r>
      <w:r w:rsidR="00CE608E" w:rsidRPr="000004DB">
        <w:rPr>
          <w:rStyle w:val="rynqvb"/>
          <w:rFonts w:ascii="Times New Roman" w:hAnsi="Times New Roman" w:cs="Times New Roman"/>
          <w:sz w:val="24"/>
          <w:szCs w:val="24"/>
          <w:lang w:val="en"/>
        </w:rPr>
        <w:t>A key strategic decision for freight forwarders involves Incoterms</w:t>
      </w:r>
      <w:r w:rsidR="00FC6D9A" w:rsidRPr="000004DB">
        <w:rPr>
          <w:rStyle w:val="rynqvb"/>
          <w:rFonts w:ascii="Times New Roman" w:hAnsi="Times New Roman" w:cs="Times New Roman"/>
          <w:sz w:val="24"/>
          <w:szCs w:val="24"/>
          <w:lang w:val="en"/>
        </w:rPr>
        <w:t>, the standard commercial terms published by the ICC, which</w:t>
      </w:r>
      <w:r w:rsidR="00CE608E" w:rsidRPr="000004DB">
        <w:rPr>
          <w:rStyle w:val="rynqvb"/>
          <w:rFonts w:ascii="Times New Roman" w:hAnsi="Times New Roman" w:cs="Times New Roman"/>
          <w:sz w:val="24"/>
          <w:szCs w:val="24"/>
          <w:lang w:val="en"/>
        </w:rPr>
        <w:t xml:space="preserve"> define costs, responsibilities, and risks between buyers and sellers at various stages of a shipment.</w:t>
      </w:r>
      <w:r w:rsidR="00FC6D9A" w:rsidRPr="000004DB">
        <w:rPr>
          <w:rStyle w:val="rynqvb"/>
          <w:rFonts w:ascii="Times New Roman" w:hAnsi="Times New Roman" w:cs="Times New Roman"/>
          <w:sz w:val="24"/>
          <w:szCs w:val="24"/>
          <w:lang w:val="en"/>
        </w:rPr>
        <w:t xml:space="preserve"> </w:t>
      </w:r>
      <w:r w:rsidR="00CE608E" w:rsidRPr="000004DB">
        <w:rPr>
          <w:rStyle w:val="hwtze"/>
          <w:rFonts w:ascii="Times New Roman" w:hAnsi="Times New Roman" w:cs="Times New Roman"/>
          <w:sz w:val="24"/>
          <w:szCs w:val="24"/>
          <w:lang w:val="en"/>
        </w:rPr>
        <w:t xml:space="preserve"> </w:t>
      </w:r>
      <w:r w:rsidR="00FC6D9A" w:rsidRPr="000004DB">
        <w:rPr>
          <w:rFonts w:ascii="Times New Roman" w:hAnsi="Times New Roman" w:cs="Times New Roman"/>
          <w:sz w:val="24"/>
          <w:szCs w:val="24"/>
          <w:lang w:val="en"/>
        </w:rPr>
        <w:t>Both government authorities and international trade practitioners can approve the Incoterms set of rule</w:t>
      </w:r>
      <w:r w:rsidR="000444D6" w:rsidRPr="000004DB">
        <w:rPr>
          <w:rFonts w:ascii="Times New Roman" w:hAnsi="Times New Roman" w:cs="Times New Roman"/>
          <w:sz w:val="24"/>
          <w:szCs w:val="24"/>
          <w:lang w:val="en"/>
        </w:rPr>
        <w:t>s</w:t>
      </w:r>
      <w:r w:rsidR="00CE608E"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6827DA" w:rsidRPr="000004DB">
        <w:rPr>
          <w:rFonts w:ascii="Times New Roman" w:hAnsi="Times New Roman" w:cs="Times New Roman"/>
          <w:sz w:val="24"/>
          <w:szCs w:val="24"/>
          <w:lang w:val="en"/>
        </w:rPr>
        <w:t xml:space="preserve"> </w:t>
      </w:r>
      <w:r w:rsidR="00FC6D9A" w:rsidRPr="000004DB">
        <w:rPr>
          <w:rFonts w:ascii="Times New Roman" w:hAnsi="Times New Roman" w:cs="Times New Roman"/>
          <w:sz w:val="24"/>
          <w:szCs w:val="24"/>
          <w:lang w:val="en"/>
        </w:rPr>
        <w:t>Incoterms require all parties involved in the sale and purchase of good</w:t>
      </w:r>
      <w:r w:rsidR="00BF4B55" w:rsidRPr="000004DB">
        <w:rPr>
          <w:rFonts w:ascii="Times New Roman" w:hAnsi="Times New Roman" w:cs="Times New Roman"/>
          <w:sz w:val="24"/>
          <w:szCs w:val="24"/>
          <w:lang w:val="en"/>
        </w:rPr>
        <w:t xml:space="preserve">s to take on </w:t>
      </w:r>
      <w:r w:rsidR="00FC6D9A" w:rsidRPr="000004DB">
        <w:rPr>
          <w:rFonts w:ascii="Times New Roman" w:hAnsi="Times New Roman" w:cs="Times New Roman"/>
          <w:sz w:val="24"/>
          <w:szCs w:val="24"/>
          <w:lang w:val="en"/>
        </w:rPr>
        <w:t>specific</w:t>
      </w:r>
      <w:r w:rsidR="00BF4B55" w:rsidRPr="000004DB">
        <w:rPr>
          <w:rFonts w:ascii="Times New Roman" w:hAnsi="Times New Roman" w:cs="Times New Roman"/>
          <w:sz w:val="24"/>
          <w:szCs w:val="24"/>
          <w:lang w:val="en"/>
        </w:rPr>
        <w:t xml:space="preserve"> duties, risks, and financial liabilities</w:t>
      </w:r>
      <w:r w:rsidR="006827DA"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6827DA"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An updated version of these rules is issued by the International Chamber of Commerce (ICC) </w:t>
      </w:r>
      <w:r w:rsidR="00FC6D9A" w:rsidRPr="000004DB">
        <w:rPr>
          <w:rFonts w:ascii="Times New Roman" w:hAnsi="Times New Roman" w:cs="Times New Roman"/>
          <w:sz w:val="24"/>
          <w:szCs w:val="24"/>
          <w:lang w:val="en"/>
        </w:rPr>
        <w:t>regularly</w:t>
      </w:r>
      <w:r w:rsidR="00BF4B55" w:rsidRPr="000004DB">
        <w:rPr>
          <w:rFonts w:ascii="Times New Roman" w:hAnsi="Times New Roman" w:cs="Times New Roman"/>
          <w:sz w:val="24"/>
          <w:szCs w:val="24"/>
          <w:lang w:val="en"/>
        </w:rPr>
        <w:t xml:space="preserve"> to keep up with changes in global trade practices</w:t>
      </w:r>
      <w:r w:rsidR="006827DA"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fldChar w:fldCharType="begin" w:fldLock="1"/>
      </w:r>
      <w:r w:rsidR="00CE608E" w:rsidRPr="000004DB">
        <w:rPr>
          <w:rFonts w:ascii="Times New Roman" w:hAnsi="Times New Roman" w:cs="Times New Roman"/>
          <w:sz w:val="24"/>
          <w:szCs w:val="24"/>
          <w:lang w:val="en"/>
        </w:rPr>
        <w:instrText>ADDIN CSL_CITATION {"citationItems":[{"id":"ITEM-1","itemData":{"DOI":"10.1080/13675567.2021.1897974","ISSN":"13675567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Group.","author":[{"dropping-particle":"","family":"Davis","given":"J","non-dropping-particle":"","parse-names":false,"suffix":""},{"dropping-particle":"","family":"Vogt","given":"J","non-dropping-particle":"","parse-names":false,"suffix":""}],"container-title":"International Journal of Logistics Research and Applications","id":"ITEM-1","issue":"9","issued":{"date-parts":[["2022"]]},"language":"English","note":"Export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9-13","page":"1263-1286","publisher":"Taylor and Francis Ltd.","publisher-place":"GMSC Department Marilyn Davies College of Business, University of Houston-Downtown, Houston, TX, United States","title":"Incoterms® 2020 and the missed opportunities for the next version","type":"article-journal","volume":"25"},"uris":["http://www.mendeley.com/documents/?uuid=760b2637-62bb-4428-b584-6dccc7492b21"]}],"mendeley":{"formattedCitation":"(Davis and Vogt, 2022)","plainTextFormattedCitation":"(Davis and Vogt, 2022)","previouslyFormattedCitation":"(Davis and Vogt, 2022)"},"properties":{"noteIndex":0},"schema":"https://github.com/citation-style-language/schema/raw/master/csl-citation.json"}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(Davis and Vogt, 2022)</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Incoterms ha</w:t>
      </w:r>
      <w:r w:rsidR="00FC6D9A" w:rsidRPr="000004DB">
        <w:rPr>
          <w:rFonts w:ascii="Times New Roman" w:hAnsi="Times New Roman" w:cs="Times New Roman"/>
          <w:sz w:val="24"/>
          <w:szCs w:val="24"/>
          <w:lang w:val="en"/>
        </w:rPr>
        <w:t>ve the potential to boost profits and gain a</w:t>
      </w:r>
      <w:r w:rsidR="00BF4B55" w:rsidRPr="000004DB">
        <w:rPr>
          <w:rFonts w:ascii="Times New Roman" w:hAnsi="Times New Roman" w:cs="Times New Roman"/>
          <w:sz w:val="24"/>
          <w:szCs w:val="24"/>
          <w:lang w:val="en"/>
        </w:rPr>
        <w:t xml:space="preserve"> competitive advantage.</w:t>
      </w:r>
      <w:r w:rsidR="00FC6D9A"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fldChar w:fldCharType="begin" w:fldLock="1"/>
      </w:r>
      <w:r w:rsidR="00CE608E" w:rsidRPr="000004DB">
        <w:rPr>
          <w:rFonts w:ascii="Times New Roman" w:hAnsi="Times New Roman" w:cs="Times New Roman"/>
          <w:sz w:val="24"/>
          <w:szCs w:val="24"/>
          <w:lang w:val="en"/>
        </w:rPr>
        <w:instrText>ADDIN CSL_CITATION {"citationItems":[{"id":"ITEM-1","itemData":{"ISBN":"9780615644318","author":[{"dropping-particle":"","family":"Gardner","given":"By Daniel L","non-dropping-particle":"","parse-names":false,"suffix":""}],"id":"ITEM-1","issue":"Icc","issued":{"date-parts":[["2012"]]},"title":"How to Use International Trade Terms for Competitive Advantage &amp; Financial Gain","type":"book"},"uris":["http://www.mendeley.com/documents/?uuid=98c638ad-1b73-41e4-817b-385bf3ea8be4"]}],"mendeley":{"formattedCitation":"(Gardner, 2012)","plainTextFormattedCitation":"(Gardner, 2012)","previouslyFormattedCitation":"(Gardner, 2012)"},"properties":{"noteIndex":0},"schema":"https://github.com/citation-style-language/schema/raw/master/csl-citation.json"}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(Gardner, 2012)</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raise the efficiency of logistics operations </w:t>
      </w:r>
      <w:r w:rsidR="00CE608E"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fldChar w:fldCharType="begin" w:fldLock="1"/>
      </w:r>
      <w:r w:rsidR="00CE608E" w:rsidRPr="000004DB">
        <w:rPr>
          <w:rFonts w:ascii="Times New Roman" w:hAnsi="Times New Roman" w:cs="Times New Roman"/>
          <w:sz w:val="24"/>
          <w:szCs w:val="24"/>
          <w:lang w:val="en"/>
        </w:rPr>
        <w:instrText>ADDIN CSL_CITATION {"citationItems":[{"id":"ITEM-1","itemData":{"DOI":"10.31387/oscm040017","ISSN":"2579-9363","abstract":"The objective of this study is to identify the main factors taken into consideration when deciding which Incoterms to use and to analyze the impact of the choices of Incoterms on export performance. The results highlight the importance of considering both the internal …","author":[{"dropping-particle":"","family":"Hien","given":"Nicolas","non-dropping-particle":"","parse-names":false,"suffix":""},{"dropping-particle":"","family":"Laporte","given":"Gilbert","non-dropping-particle":"","parse-names":false,"suffix":""},{"dropping-particle":"","family":"Roy","given":"Jacques","non-dropping-particle":"","parse-names":false,"suffix":""}],"container-title":"Operations and Supply Chain Management: An International Journal","id":"ITEM-1","issue":"2","issued":{"date-parts":[["2014"]]},"page":"63-78","title":"Business Environment Factors, Incoterms Selection and Export Performance","type":"article-journal","volume":"2"},"uris":["http://www.mendeley.com/documents/?uuid=fd2c0754-ab05-4b40-9a07-409100476d13"]}],"mendeley":{"formattedCitation":"(Hien et al., 2014)","plainTextFormattedCitation":"(Hien et al., 2014)","previouslyFormattedCitation":"(Hien et al., 2014)"},"properties":{"noteIndex":0},"schema":"https://github.com/citation-style-language/schema/raw/master/csl-citation.json"}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(Hien et al., 2014)</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and enhance the efficiency of the alliance </w:t>
      </w:r>
      <w:r w:rsidR="00CE608E" w:rsidRPr="000004DB">
        <w:rPr>
          <w:rFonts w:ascii="Times New Roman" w:hAnsi="Times New Roman" w:cs="Times New Roman"/>
          <w:sz w:val="24"/>
          <w:szCs w:val="24"/>
          <w:lang w:val="en"/>
        </w:rPr>
        <w:fldChar w:fldCharType="begin" w:fldLock="1"/>
      </w:r>
      <w:r w:rsidR="0039184C" w:rsidRPr="000004DB">
        <w:rPr>
          <w:rFonts w:ascii="Times New Roman" w:hAnsi="Times New Roman" w:cs="Times New Roman"/>
          <w:sz w:val="24"/>
          <w:szCs w:val="24"/>
          <w:lang w:val="en"/>
        </w:rPr>
        <w:instrText>ADDIN CSL_CITATION {"citationItems":[{"id":"ITEM-1","itemData":{"ISSN":"2830-1803","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management","id":"ITEM-1","issue":"1","issued":{"date-parts":[["2022"]]},"page":"1-15","publisher":"Universitas Diponegoro","title":"Environmental uncertainty factor, incoterm and implication for a strategic alliance in freight forwarder companies case study in Indonesia","type":"article-journal","volume":"1"},"uris":["http://www.mendeley.com/documents/?uuid=a1869cfc-3b6a-4692-b6f9-c7f2f07df721"]}],"mendeley":{"formattedCitation":"(Sugiono et al., 2022)","plainTextFormattedCitation":"(Sugiono et al., 2022)","previouslyFormattedCitation":"(Sugiono et al., 2022)"},"properties":{"noteIndex":0},"schema":"https://github.com/citation-style-language/schema/raw/master/csl-citation.json"}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(Sugiono et al., 2022)</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Incoterms 2020 has been covered extensively in a wide variety of publications </w:t>
      </w:r>
      <w:r w:rsidR="00CE608E" w:rsidRPr="000004DB">
        <w:rPr>
          <w:rFonts w:ascii="Times New Roman" w:hAnsi="Times New Roman" w:cs="Times New Roman"/>
          <w:sz w:val="24"/>
          <w:szCs w:val="24"/>
          <w:lang w:val="en"/>
        </w:rPr>
        <w:fldChar w:fldCharType="begin" w:fldLock="1"/>
      </w:r>
      <w:r w:rsidR="00CE608E" w:rsidRPr="000004DB">
        <w:rPr>
          <w:rFonts w:ascii="Times New Roman" w:hAnsi="Times New Roman" w:cs="Times New Roman"/>
          <w:sz w:val="24"/>
          <w:szCs w:val="24"/>
          <w:lang w:val="en"/>
        </w:rPr>
        <w:instrText>ADDIN CSL_CITATION {"citationItems":[{"id":"ITEM-1","itemData":{"ISSN":"1569755X (ISSN)","abstract":"The Union Customs Code (UCC) regulates the customs value of goods to be used for the purpose of the import declaration by identifying it with the ‘ transaction value ‘, i.e., the price paid or payable for the goods when they are sold for export to the customs territory of the Union. To this calculation basis, in order to determine the amount of duties, additional elements must be added, such as transport costs to the Union border. The parties often resort to the delivery conditions codified in the ‘Incoterms’ published periodically by the International Chamber of Commerce of Paris, in order to clearly share the risks and responsibilities associated with transport. The UCC, however, does not cover the relationship between the customs value and the ‘Incoterms', in particular in the case of returns of ‘Group D' (for example: DAP - Delivered at place, or ‘delivered at the place of destination'), when the transport costs are borne by the transferor and not by the importing buyer: the Court of Justice, with the ruling of 22 April 2021, given in case C-75/20, Lifosa UAB, addressed the issue for the first time, clarifying that the relevant provisions of the code (in particular, Article 70, paragraph 1, and Article 71, paragraph 1, letter e, point i) must be interpreted as meaning that, in order to determine the customs value of imported goods, it is not necessary to add to their transaction value the costs actually incurred by the manufacturer for the transport of these goods to the place of their introduction into the customs territory of the European Union when, according to the agreed upon conditions of delivery, the obligation to cover these expenses is incumbent on the manufacturer, and this even if said expenses exceed the price actually paid by the importer, when this price corresponds to the real value of said goods. © 2022 Kluwer Law International BV, The Netherlands. All Rights Reserved.","author":[{"dropping-particle":"","family":"Fruscione","given":"A","non-dropping-particle":"","parse-names":false,"suffix":""}],"container-title":"Global Trade and Customs Journal","id":"ITEM-1","issue":"1","issued":{"date-parts":[["2022"]]},"language":"English","note":"Export Date: 2 April 2023\n\nCorrespondence Address: Fruscione, A.; Partner at Studio legale Fruscione\n\nReferences: (2013) 1 Regulation (UE) no. 952/2013 of the European Parliament and of the Council of 9 Oct; \n(2015) 2 Commission Delegated Regulation (UE) no. 2015/2446, , of 28 July;\n(2015) 3 Commission Delegated Regulation (UE) no. 2015/2447, , of 24 Nov;\n(1992), 4 Council Regulation (EEC 2913/1992, of 12 Oct; (2010) Gaston Schul, , 5 To this effect, ruling of 15 July case C-354/09, point 38","page":"49-52","publisher":"Kluwer Law International","publisher-place":"Partner at Studio legale Fruscione, Rome","title":"The Court of Justice of the European Union Clarifies the Relationship Between Customs Value and Delivery Costs of Goods","type":"article-journal","volume":"17"},"uris":["http://www.mendeley.com/documents/?uuid=b005dd12-bfe4-40ac-abc4-b942a4ef533e"]},{"id":"ITEM-2","itemData":{"DOI":"10.5171/2021.866939","ISSN":"19473788 (ISSN)","abstract":"The knowledge economy highlights opinions on economics, management, law, sociology, anthropology, psychology, and political science. However, these opinions exclude language and linguistics which are the foundations for any knowledge. Meaning remains pivotal and fundamental in issues of language and communication hence the need to situate a robust study in semantics. In the area of global business, periodic revisions made on the international commercial terms (INCOTERMS) lead to misconceptions, vagueness and misunderstanding of terms in international trade. Moreover, it appears that training in entrepreneur development studies in our higher education lacks sufficient modules of language studies; therefore, the need to examine the import of meaning in the knowledge economy. This situation justifies the need for this study. Data was elicited from concepts in certain sectors of global trade, where one hundred lexical items were presented to 20 graduate students and 30 undergraduate students in the Entrepreneurial Development Studies (EDS) class of Covenant University. The use of a questionnaire to elicit the respondents’ semantic understanding of key concepts in business enabled the use of qualitative and quantitative approaches of analysis. The methodological framework is the Business Semantics Management by Pieter De Leenheer (2009) that organises business stakeholders to fashion out meaning. Copyright © 2021. Lydia Edet, Charles Ogbulogo and Innocent Chiluwa.","author":[{"dropping-particle":"","family":"Edet","given":"L","non-dropping-particle":"","parse-names":false,"suffix":""},{"dropping-particle":"","family":"Ogbulogo","given":"C","non-dropping-particle":"","parse-names":false,"suffix":""},{"dropping-particle":"","family":"Chiluwa","given":"I","non-dropping-particle":"","parse-names":false,"suffix":""}],"container-title":"IBIMA Business Review","id":"ITEM-2","issued":{"date-parts":[["2021"]]},"language":"English","note":"Export Date: 2 April 2023\n\nCorrespondence Address: Edet, L.; Covenant Universityemail: Lydia.edet@stu.com.ng\n\nReferences: Ballard, K., (2007), https://www.amazon.com/FrameworksEnglish-Introducing-Language-Structures/dp/0230013147, Retrieved from; Brown, Phillip, Lauder, Hugh, Ashton, David, (2008) Education, Globalisation and the Knowledge Economy: A Commentary by the Teaching and Learning Research Programme, , https://orca.cf.ac.uk/25532/1/globalisationcomm.pdf; \nBukht, R., Heeks, R., Digital Economy Policy in Developing Countries (2018) DIODE: Development Implications of Digital Economies, , www.researchgate.net/publication/327872098_Digital_Economy_Policy_in_Developing_Countries, Retrieved from;\nCarayannis, E., Editor’s Note (2010) Technological learning for entrepreneurial development (TL4ED) in the knowledge economy (KE): Case studies and lessons learned, , www.elsevier.com/locate/technovation, Memoriam: Maria G. Karagiannis, MD Carayannis, E., Popescu, D., Sipp, C., Stewart, M. (2006). Retrieved from https://doi.org/10.1016/j.technovation.2005.04.003. Accessed on 31/01/2018;\nCavusoglua, B., Italy Knowledge Economy and North Cyprus (2015) 3rd Global Conference on Business, Economics, Management and Tourism, , www.sciencedirect.com, 26-28 November 2015, Rome, Italy. Retrived from;\nCrichton, J., Communicating in Professions and Organizations (2018) Handbook of Communications in Organisations and Professions, , https://www.palgrave.com/us/series/1490, (ed) Retrieved from;\nDe Leenheer, P., (2009) Community-based Ontology Evolution, , httpswordpress.com/2010/01/14cure-forthe-closedworld-syndrome.(wordpress.com/research/business-semantics-management/;\nEdet, L., (2016) An Unpublished Mphil thesis of the Languages and Literary Studies Department of the Babcock University, , A Linguistic Analysis of the Language of Interaction in Selected Hospitality Industry, Ilishan-Remo, Ogun State;\nEjabena, H. O., (2015) Semantic Analysis, , fromhttps://www.academia.edu/30398138, An Assignment on EGL 605: Semantics of English, Department of English Obafemi Awolowo University, Ile-Ife, Nigeria. Retrieved;\nEgger, H., Toubal, F., Common spoken languages and international trade (2015) The Palgrave Handbook of Economics and Language, , https://www.palgrave.com/us/series/14904, Ginsburgh &amp;amp; S. Weber (eds) (2016). Retrieved from;\nFaborode, M., (2016) Benchmarking the Quality and Relevance of Higher Education for National Development;\nGinsburgh, V., Weber, S., (2016) The Palgrave Handbook of Economics and Language, , https://www.palgrave.com/us/series/1490, (eds) Retrieved from;\nEsizimetor, D., Egbokare, F., A Study of the History and Structure of Naijá Words (2011) A paper presented at the Meeting of the Society for Pidgin and Creole Linguistics (SPCL), , www.hawaii.edu/satocenter/langnet/definition/naijahtml, 2-6 August 2011, Accra, Ghana;\nHeakal, R., (2015) What is International Trade?, , https://www.investopedia.com/articles/03/112503.asp, Retrived 29/12/2017;\nKefela, G. T., Knowledge-based economy and society has become a vital commodity to countries (2010) International NGO Journal, 5 (7), pp. 160-166. , http://www.academicjournals.org/INGOJISSN1993–8225, August 2010 Retrieved from ©2010 Academic Journals;\nKorzybski, A., (1933) Science and Sanity: An Introduction to Non-Aristotelian Systems and General Semantics, , https://www.thriftbooks.com/w/science-and-sanity-an-introduction-to-nonaristotelian-systems-and-generalsemantics_alfredkorzybski/322696/#isbn=0937298018, Retrieved from;\nLobner, S., (2013) Understanding Semantics, , http://www.nationalforum.com/Electronic, (2nd ed) Canada: Routledge. Lunenburg, F. (2010). The Process, Barriers, And Improving Effectiveness Communication: Schooling V1 N1;\nMcComb, D., (2003) Semantics in Business Systems: The Savvy Manager's Guide, , http://www.informationmanagement-com.media/pdfs/colibra.pdf, Retrieved from More, L. and bookboon.com (2013). Retrieved from https://is.muni.cz/el/1456/jaro2016/MPV_COMA/um/E-book_II_BusinessCommunication.pdf;\nOgbulogo, C., (2005) Concepts in Semantics, , Lagos: Sam Iroanusi Publications;\nLanguage Engineering and the Destiny of Man in Africa (2013), 3 (1). , 3rd Inaugural Lecture Covenant University Inaugural Lecture Serie April 2013; Olofin, S., (2001) An Introduction to Macroeconomics, , Lagos: Malthouse Press Ltd;\nOsinbajo, Y., Repositioning Nigerian Universities for the 21st Century: (2014); Paradigms for Innovation and Change. 9th Convocation Distinguished Lecture of Covenant University, , Canaanland, Ota, Ogun State;\nPalmer, F., (1981) Semantics, , (2nd ed) Cambridge: University Press;\nRoss, R., (2013) Business Rule Concepts Getting to the Point of Knowledge, , (4th ed);\n(2018) The Business View of Data and Data Quality: The Six Dimensions of Semantic Quality, , http://www.brcommunity.com/articles.php?id=b946;\nile:///C:/Users/User/Documents/Incoterms-GlobalTradeWordsandDefinitions_Scarbrough.html, Scarbrough ‘Global Word Trade; Scott, D., Brydon, S., (1997) Dimensions of Communication: An Introduction, , California: Mayfield Publishing Company;\nTan, M., Rao, M., (2013) Knowledge Management Initiatives in Singapore, , London: World Scientific;\nTakeuchi, H., Shibata, T., (2006) Japan, Moving Toward a More Advanced Knowledge Economy Volume 2: Advanced Knowledge Creating Companies, , The International Bank for Reconstruction and Development the World Bank;\nTchamyou, V., (2015) The Role of Knowledge Economy in African Business, , https://www.researchgate.net/publication/308328467, A G D I Working Paper WP/15/049. Cameroon: African Governance and Development Institute. Retrieved from;\nTenzer, H., Terjesen, S., Harzing, A., Language in International Business: A review and Agenda for Future Research (2017) Management International Reviews, 57, pp. 815-854. , https://doi.org/10.1007/s11575-017-0319-x, Retrieved from;\nTernai, K., Torok, M., Varga, K., Corporate Semantic Business Process Management (2005), file:///c:/user/downloads/978331928915tcl.pdf, Thomason, R. (2012). What is Semantics (2nd version) https://web.eecs.umich.edu/~rthomaso documents/general/what-is-semantics.htmlUR - https://www.scopus.com/inward/record.uri?eid=2-s2.0-85116893515&amp;amp;doi=10.5171%2f2021.866939&amp;amp;partnerID=40&amp;amp;md5=f0c35f3de15c56ff474b309c686eaffc","publisher":"IBIMA Publishing","publisher-place":"Covenant University","title":"Aspects of semantics in global business: The nigerian example in the knowledge era","type":"article-journal","volume":"2021"},"uris":["http://www.mendeley.com/documents/?uuid=823f1ef2-333c-46a2-873c-05df59e9a5fb"]},{"id":"ITEM-3","itemData":{"DOI":"10.3390/su13031138","ISSN":"20711050 (ISSN)","abstract":"International supply chains generate substantial amounts of CO2 emissions. However, established methodologies for national freight transport emission assessments do not consider such international perspectives sufficiently. This research aims to show how logistic responsibility may be used in ex post transport CO2 emission assessments, for macrologistic or supply chain levels. We propose an original approach to estimate and allocate CO2 emissions generated by international freight transport between trade countries. The proposed method relies on the applied Incoterms® rules in sales contracts. A new indicator, the index of responsibility for transport emissions (RTEindex), is introduced to allocate bilateral trade-related transport CO2 emissions. This is the first time that the Incoterms® clauses are used for macrologistic assessments of international trade-related transport CO2 emissions. Our approach is exemplified using bilateral trade-related transport flows between Serbia and other European countries. The introduced RTE-index is expected to help visualise average national trade-related transport CO2 emission responsibilities; increase awareness regarding environmental considerations among trade parties, logistics companies, and national organisations; and provide new perspectives for environmental transport policy actions. © 2021 by the authors. Licensee MDPI, Basel, Switzerland.","author":[{"dropping-particle":"","family":"Stojanović","given":"Ð","non-dropping-particle":"","parse-names":false,"suffix":""},{"dropping-particle":"","family":"Ivetić","given":"J","non-dropping-particle":"","parse-names":false,"suffix":""},{"dropping-particle":"","family":"Veličković","given":"M","non-dropping-particle":"","parse-names":false,"suffix":""}],"container-title":"Sustainability (Switzerland)","id":"ITEM-3","issue":"3","issued":{"date-parts":[["2021"]]},"language":"English","note":"Cited By :8\n\nExport Date: 2 April 2023\n\nCorrespondence Address: Ivetić, J.; Faculty of Technical Sciences, Serbia; email: jelenaivetic@uns.ac.rs\n\nFunding details: Ministarstvo Prosvete, Nauke i Tehnološkog Razvoja, MPNTR, 451-03-68/2020-14/200156\n\nFunding text 1: Funding: This research was funded by the Ministry of Education, Science and Technological Development of the Republic of Serbia through project no. 451-03-68/2020-14/200156: “Innovative scientific and artistic research from the Faculty of Technical Sciences activity domain.”\n\nReferences: Cristea, A., Hummels, D., Puzzello, L., Avetisyan, M., Trade and the greenhouse gas emissions from international freight transport (2013) J. Environ. Econ. Manag, 65, pp. 153-173. , [CrossRef]; \n(2015) The Carbon Footprint of Global Trade: Tackling Emissions from International Freight Transport, , https://www.itf-oecd.org/sites/default/files/docs/cop-pdf-06.pdf, OECD/ITF. OECD/ITF: Paris, France, (accessed on 29 May 2020);\nLlano, C., Pérez-Balsalobre, S., Pérez-García, J., Greenhouse gas emissions from intra-national freight transport: Measurement and scenarios for greater sustainability in Spain (2018) Sustainability, 10, p. 2467. , [CrossRef];\nMcKinnon, A., (2018) Decarbonizing Logistics, , 1st ed.; Kogan Page Limited: London, UK;\nEnzmann, J., Ringel, M., Reducing road transport emissions in Europe: Investigating a demand side driven approach (2020) Sustainability, 12, p. 7594. , [CrossRef];\nMcKinnon, A.C., Piecyk, M.I., Setting targets for reducing carbon emissions from logistics: Current practice and guiding principles (2012) Carbon Manag, 3, pp. 629-639. , [CrossRef];\nVan Veen-Groot, D., Nijkamp, P., Globalization, transport and the environment: New perspectives for ecological economics (1999) Ecol Econ, 31, pp. 331-346. , [CrossRef];\nDavydenko, I., Ehrler, V., de Ree, D., Lewis, A., Tavasszy, L., Towards a global CO2 calculation standard for supply chains: Suggestions for methodological improvements (2014) Transp. Res. Part. D Transp. Environ, 32, pp. 362-372. , [CrossRef];\n(2010) Incoterms®2010: ICC Rules for the Use of Domestic and International Trade Terms, , ICC. International Chamber of Commerce Publishing S.A: Paris, France;\nMcKinnon, A., The possible influence of the shipper on carbon emissions from deep-sea container supply chains: An empirical analysis (2014) Marit. Econ. Logist, 16, pp. 1-19. , [CrossRef];\nStojanović, Ð.M., Ivetić, J., Possibilities of using Incoterms clauses in a country logistics performance assessment and benchmarking (2020) Transp. Policy, 98, pp. 217-228. , [CrossRef];\nMcKinnon, A., Green Logistics: The Carbon Agenda (2010) Electron. Sci. J. Logist, 6, pp. 1-9. , https://www.logforum.net/pdf/6_3_1_10.pdf, (accessed on 26 May 2020);\nGurtu, A., Searcy, C., Jaber, M.Y., Emissions from international transport in global supply chains (2017) Manag. Res. Rev, 40, pp. 53-74. , [CrossRef];\nCook, T., (2014) Mastering the Business of Global Trade: Negotiating Competitive Advantage Contractual Best Practices, Incoterms®, and Leveraging Supply Chain Options, , CRC Press: Boca Raton, FL, USA;\nVan den Berg, R., De Langen, P.W., Environmental sustainability in container transport: The attitudes of shippers and forwarders (2016) Int. J. Logist. Res. Appl, 20, pp. 146-162. , [CrossRef];\nKumar, S., Logistics routing flexibility and lower freight costs through use of Incoterms (2010) Transp. J, 49, pp. 48-56;\nVogt, J., Davis, J., The State of Incoterm®Research (2020) Transp. J, 59, pp. 304-324. , [CrossRef];\nCullinane, S., Edwards, J., Assessing the environmental impacts of freight transport (2010) Green Logistics: Improving the Environmental Sustainability of Logistics, , 1st ed.; McKinnon, A., Cullinane, S., Browne, M., Whiteing, A., Eds.; London, UK;\nBarrett, J., Peters, G., Wiedmann, T., Scott, K., Lenzen, M., Roelich, K., Quéré, C.L., Consumption-based GHG emission accounting: A UK case study (2013) Clim. Policy, 13, pp. 451-470. , [CrossRef];\nKanemoto, K., Lenzen, M., Peters, G.P., Moran, D.D., Geschke, A., Frameworks for comparing emissions associated with production, consumption, and international trade (2012) Environ. Sci. Technol, 46, pp. 172-179. , [CrossRef];\nWiebe, K.S., Yamano, N., (2016) Estimating CO2 Emissions Embodied in Final Demand and Trade Using the OECD ICIO 2015: Methodology and Results, , OECD Science, Technology and Industry Working Papers 2016/5; OECD Publishing: Paris, France, [CrossRef];\nYoon, Y., Yang, M., Kim, J., An analysis of CO2 emissions from international transport and the driving forces of emissions change (2018) Sustainability, 10, p. 1677. , [CrossRef];\nDios, M., Souto, J.A., Casares, J.J., Gallego, N., Sáez, A., Macho, M.L., Cartelle, D., Vellón, J.M., A mixed top-down and bottom-up methodology in spatial segregation of emissions based on GIS tools (2012) WIT Trans. Ecol. Environ, 157, pp. 225-236. , [CrossRef];\nNabernegg, S., Bednar-Friedl, B., Muñoz, P., Titz, M., Vogel, J., National policies for global emission reductions: Effectiveness of carbon emission reductions in international supply chains (2019) Ecol. Econ, 158, pp. 146-157. , [CrossRef];\nSteininger, K., Muñoz, P., Karstensen, J., Peters, G., Strohmaier, R., Velázquez, E., Austria’s consumption-based greenhouse gas emissions: Identifying sectoral sources and destinations (2018) Glob. Environ. Chang, 48, pp. 226-242. , [CrossRef];\n(2019) Long Distance Freight Transport: A Roadmap for System Integration of Road Transport, , https://www.ertrac.org/uploads/documentsearch/id56/ERTRAC-Long-duty-Freight-Transport-Roadmap2019.pdf, ERTRAC. ERTRAC: Brussels, Belgium, (accessed on 5 June 2020);\n(2016) A European Strategy for Low-Emission Mobility, , https://eur-lex.europa.eu/resource.html?uri=cellar:e44d3c21-531e-11e6-89bd-01aa75ed71a1.0002.02/DOC_1&amp;amp;format=PDF, European Commission. European Commission: Brussels, Belgium, (accessed on 5 June 2020);\nHowitt, O.J.A., Carruthers, M.A., Smith, I.J., Rodger, C.J., Carbon dioxide emissions from international air freight (2011) Atmos. Environ, 45, pp. 7036-7045. , [CrossRef];\nDalsøren, S.B., Eide, M.S., Endresen, Ø., Mjelde, A., Gravir, G., Isaksen, I.S.A., Update on emissions and environmental impacts from the international fleet of ships: The contribution from major ship types and ports (2009) Atmos. Chem. Phys, 9, pp. 2171-2194. , [CrossRef];\nJanic, M., Vleugel, J., Estimating potential reductions in externalities from rail–road substitution in Trans-European freight transport corridors (2012) Transp. Res. Part. D Transp. Environ, 17, pp. 154-160. , [CrossRef];\nJacyna, M., Wasiak, M., Lewczuk, K., Kłodawski, M., Simulation model of transport system of Poland as a tool for developing sustainable transport (2014) Arch. Transp, 31, pp. 23-35. , [CrossRef];\nJacyna-Gołda, I., Żak, J., Gołębiowski, P., Models of traffic flow distribution for various scenarios of the development of proecological transport system (2014) Arch. Transp, 32, pp. 17-28. , [CrossRef];\nHavenga, J.H., Macrologistics and externality cost trends in South Africa—Underscoring the sustainability imperative (2015) Int. J. Logist. Res. Appl, 18, pp. 118-139. , [CrossRef];\nHavenga, J.H., Simpson, Z.P., Freight logistics’ contribution to sustainability: Systemic measurement facilitates behavioural change (2018) Transp. Res. Part. D Transp. Environ, 58, pp. 320-331. , [CrossRef];\nSeuring, S., A review of modeling approaches for sustainable supply chain management (2013) Decis. Support. Syst, 54, pp. 1513-1520. , [CrossRef];\nPeters, G.P., Marland, G., Hertwich, E.G., Saikku, L., Rautiainen, A., Kauppi, P.E., Trade, transport, and sinks extend the carbon dioxide responsibility of countries: An editorial essay (2009) Clim. Chang, 97, pp. 379-388. , [CrossRef];\nAndersen, O., Gössling, S., Simonsen, M., Walnum, H.J., Peeters, P., Neiberger, C., CO2 emissions from the transport of China’s exported goods (2010) Energy Policy, 38, pp. 5790-5798. , [CrossRef];\nCadarso, M.A., Gómez, N., López, L.A., Tobarra, M.A., CO2 emissions of international freight transport and offshoring: Measurement and allocation (2010) Ecol. Econ, 69, pp. 1682-1694. , [CrossRef];\nMartinez, L., Kauppila, J., Castaing, M., (2014) International Freight and Related CO2 Emissions by 2050: A New Modelling Tool, , https://www.itf-oecd.org/sites/default/files/docs/dp201421.pdf, International Transport Forum: Paris, France, (accessed on 7 June 2020);\ndel Rosal, I., Factors influencing the choice of delivery terms used in Spanish seaborne container trade (2016) Int. J. Shipp. Transp. Logist, 8, pp. 318-333. , [CrossRef];\n(2011) Guidelines for Measuring and Managing CO2 Emission from Freight Transport, , https://www.ecta.com/resources/Documents/Best%20Practices%20Guidelines/guideline_for_measuring_and_managing_co2.pdf, CEFIC ECTA. Operations; CEFIC ECTA: Brussels, Belgium, (accessed on 25 May 2020);\nMcKinnon, A., Piecyk, M., (2010) Measuring and Managing CO2 Emissions of European Chemical Transport, , https://cefic.org/app/uploads/2018/12/MeasuringAndManagingCO2EmissionOfEuropeanTransport-McKinnon-24.01.2011-REPORT_TRANSPORT_AND_LOGISTICS.pdf, Logistics Research Centre: Edinburgh, UK, (accessed on 25 May 2020);\nHavenga, J.H., Witthöft, I.E., Simpson, Z.P., Macrologistics instrumentation: Integrated national freight flow and logistics cost measurement (2019) Transp. Policy, , [CrossRef];\nMaslarić, M., Nikoličić, S., Mirčetić, D., Logistics response to the Industry 4.0: The Physical Internet (2016) Open Eng, 6, pp. 511-517. , [CrossRef];\nCotti, D., (2020) International Chamber of Commerce, , https://www.iccwboconference.uk/2020/09/17/digital-standards-initiative-dsi/, Digital Standards Initiative (DSI). (accessed on 15 June 2020);\n(2019) The European Green Deal COM/2019/640 Final, , https://eur-lex.europa.eu/legal-content/EN/TXT/?uri=CELEX:52019DC0640, European Commission. European Commission: Brussels, Belgium, (accessed on 1 June 2020);\nTsakalidis, A., Gkoumas, K., Pekar, F., Digital transformation supporting transport decarbonisation: Technological developments in EU-funded research and innovation (2020) Sustainability, 12, p. 3762. , [CrossRef];\nNilsson, F.R., Sternberg, H., Who controls transport emissions and who cares? Investigating the monitoring of environmental sustainability from a logistics service provider’s perspective (2017) Int. J. Logist. Manag, 28, pp. 798-820. , [CrossRef];\nKumar, A., Anbanandam, R., Assessment of environmental and social sustainability performance of the freight transportation industry: An index-based approach (2020) Transp. Policy, , [CrossRef];\nStojanović, Ð.M., Ivetić, J., Macrologistic performance and logistics commitments in sales contracts in international supply chains (2020) Int. J. Logist. Manag, 31, pp. 59-76. , [CrossRef];\nMcKinnon, A., Piecyk, M., Measurement of CO2 emissions from road freight transport: A review of UK experience (2009) Energy Policy, 37, pp. 3733-3742. , [CrossRef];\nWang, D.-F., Dong, Q.-L., Peng, Z.-M., Khan, S.A.R., Tarasov, A., The green logistics impact on international trade: Evidence from developed and developing countries (2018) Sustainability, 10, p. 2235. , [CrossRef];\n(2000) Abbreviations of Incoterms: Alphabetic Code for Incoterms, , http://www.unece.org/fileadmin/DAM/cefact/recommendations/rec05/rec05_ecetrd259.pdf, UN/CEFACT. UN/CEFACT: Geneva, Switzerland, (accessed on 1 June 2020)","page":"1-15","publisher":"MDPI AG","publisher-place":"Faculty of Technical Sciences, University of Novi Sad, Novi Sad, 21000, Serbia","title":"Assessment of international trade-related transport CO2 emissions—a logistics responsibility perspective","type":"article-journal","volume":"13"},"uris":["http://www.mendeley.com/documents/?uuid=0c902e52-ebfe-400b-a2cf-6de0c41db25e"]},{"id":"ITEM-4","itemData":{"ISSN":"1569755X (ISSN)","abstract":"In the past year, due to the Coronavirus disease 2019 (COVID-19), sea freight prices and domestic transportation costs have risen sharply, an increase that has not been seen for many years. This leads to a change in customs valuation. In most countries worldwide, collection of duties is based on the cost, insurance and freight (CIF) value of goods, there, any increase in transportation costs, lead to additional collection of import duties. The United States, Canada, Australia, New Zealand and South Africa, however, impose duties on the free on board (FOB) value of goods, meaning, therefore, transport costs changes do not lead to additional import duties in those countries. COVID-19 effects on transportation costs are a global issue and may last for a long time. Therefore, governments that impose customs on the CIF value, should consider waiving the COVID-19 extra shipping costs, for customs valuation purposes, until we are back to a ‘normal’ period. © 2022 Kluwer Law International BV, The Netherlands","author":[{"dropping-particle":"","family":"Wagner","given":"O","non-dropping-particle":"","parse-names":false,"suffix":""}],"container-title":"Global Trade and Customs Journal","id":"ITEM-4","issue":"3","issued":{"date-parts":[["2022"]]},"language":"English","note":"Export Date: 2 April 2023\n\nCorrespondence Address: Wagner, O.; Department at Price Waterhouse Coopers (PWC)Israel; email: omer.wagner@pwc.com\n\nReferences: https://www.ynet.co.il/economy/article/rJrNcwAcd, 1 (accessed 29 Dec. 2021); Ho, Suan-Ju, (2021) The Impact of COVID-19 on Freight Transport: Evidence from China, MethodsX, 8, p. 101200. , https://reader.elsevier.com/reader/sd/pii/S2215016120304209?token=D6DC25D810FF1B03A2BE90CCE78FCFC407C2BCB9A16CE2A94E42A633CDFBBFFE7DAD219E74FDC6CD0EE50DBA0F6DBE31&amp;amp;originRegion=eu-west-1&amp;amp;originCreation=20211229141024, 2 For example: ‘Evidence shows that in the context of high level of COVID-19 confirmed cases and low level of gasoline production, the COVID-19 increases freight transport (accessed 29 Dec. 2021); \nhttps://incodocs.com/blog/incoterms-2020-explained-the-complete-guide/https://iccwbo.org/resources-for-business/incoterms-rules/incoterms-2020/, 3 https://www.orian.com/uploads/sites/35/files/incoterms%202020.pdf (accessed 29 Dec. 2021); 4 Customs Valuation Agreement (Implementation of Art. VII of the GATT), , https://www.wto.org/english/res_e/publications_e/ai17_e/cusval_e.htm, (accessed 29 Dec. 2021);\n(1989), https://docs.wto.org/gattdocs/q/TR/VAL/M25.pdf, 5 Customs Valuation Agreement, s. 8.2; lease also WTO Committee on Customs Valuation, 10 Oct. VAL/M/25, at 4 s. 9, where it is stated that: the committee had recognized that the treatment of transport cost and related charges would largely depend on the national legislation (accessed 29 Dec. 2021); (1983) Scope of the word ‘insurance’ under Art. 8.2 (c) of the Agreement, defines the insurance as related to the transportation and loading process, only. See also WTO Committee on Customs Valuation, , https://docs.wto.org/gattdocs/q/TR/VAL/Spec9.pdf, 6 Advisory Opinion 13.1 of the WCO, Nov. 10–11th, VAL/Spec/9, at 12, (accessed 29 Dec. 2021);\n7 Article 1.1 of the Customs Valuation Agreement;\n8 Article 8.1(a)(1) of the Customs Valuation Agreement;\n9 Article 8.1(b)(i) of the Customs Valuation Agreement;\n10 Article 8.1(c) of the Customs Valuation Agreement;\n11 Interpretative notes for the Customs Valuation Agreement, 1, p. 3. , Note to Art. s. (b);\nIncreasable Charges to Transaction Value, (d), transportation costs, insurance, , https://bado.mx/articles/331/ley-aduanera/article-65-increasable-charges-totransaction-value/, 12 Mexico, Art. 65: (accessed 29 Dec. 2021); also WTO Committee on Customs Valuation, 9 Nov. 1994, VAL/M/34, at 6, s. 30, where it was stated that: ‘Mexico had indicated that as from 1 Jan. 1995, it would change its practice regarding the treatment of costs linked to transport and insurance, i.e., it would include as of that date in the customs value an amount paid for transport and insurance to the point of importation. Such a system was provided for in Art. 8.2 of the agreement https: docs.wto.org/gattdocs/q/TR/VAL/M34.pdf (accessed 29 Dec. 2021);\nEstablishing Customs Value for Import, , https://www.customs.gov.sg/businesses/valuation-duties-taxes-fees/establishing-customsvalue-for-imports, (Web Page, undated), (accessed 29 Dec. 2021);\nWei-Liang, Zhang, (2002) China Customs Valuation and the WTO Valuation Agreement, , https://archives.kdischool.ac.kr/bitstream/11125/30015/1/China%20Customs%20Valuation%20and%20the%20WTO%20Valuation%20Agreement.pdf, 14 Thesis 75 Article. 3 of the Rules of General Administration of Customs of the People’s Republic of China Regarding Determination of Customs Value of Imported and Exported Goods, (accessed 29 Dec. 2021). also Ch. II Art. 5 of the Decree of the General Administration of Customs of the People’s Republic of Chin 148: ‘The dutiable value of import goods shall be determined by Customs on the basis of the transaction value, and shall include the costs of transport and other costs associated therewith as well as the cost of insurance incurred prior to the unloading of the goods at the port or place of entry within the Customs territory of the People’s Republic of China http://english.customs.gov.cn/statics/5fb0687f-2d3d-40a0-9f2a-333ec8ee5981.html (accessed 29 Dec. 2021);\n15 Japan Customs Valuation System, s. 1: ‘Methods of Determining Customs Value’, Subs. 1(a)(a): ‘The customs value of imported goods is the transaction price paid by the buyer to the seller.. plus the following fares.. (a)transportation-related expenses, including the fare until the arrival at port, insurance, etc, , https://www.customs.go.jp/english/summary/value_details.htmhttps://www.customs.go.jp/english/summary/value.htm, (accessed 29 Dec. 2021);\n(2007) 16 India’s Customs Valuation (Determination of Value of Imported Goods) Rules, , https://www.cbic.gov.in/htdocscbec/customs/cs-act/formatted-htmls/cs-rulea, 10 ‘Cost and Services Subs. 10(2)(a) and 10(2)(c), (accessed 29 Dec. 2021);\n(2018) Guide to Customs Valuation and Transfer Pricing, 11. , http://www.wcoomd.org/-/media/wco/public/global/pdf/topics/key-issues/revenue-package/wco-guide-to-customs-valuation-and-transfer-pricing.pdf?la=en, (Online), (accessed 29 Dec. 2021);\n(1995) 18 Commentary 21.1 of the WCO: Cost of transportation: Free-On-Board system of valuation. See also Commentary no. 7.1 of the WCO: Treatment of Storage and related expenses under the provisions of Art. 1, s. 18, which rules that storage expenses of several types should be treated as a transportation costs, and should be/should not be added to the customs value, according to s. 8.2(b) to the Customs Valuation Agreement and the specific State’s decision, , https://docs.wto.org/dol2fe/Pages/SS/directdoc.aspx?filename=Q:/WT/ACC/1.pdf&amp;amp;Open=True, also WT/ACC/1 WTO document dated 24 Mar. 16, Annex 4, Questio 6: ‘How have the options found in Article 8.2 been handled (accessed 29 Dec. 2021);\nhttps://docs.wto.org/gattdocs/q/TR/VAL/M2.pdfhttps://docs.wto.org/gattdocs/q/TR/VAL/Spec2.pdf, 19 Tariff act of 1930, 19. U.S.C. §1401 a(b)(1), (3) also WTO Committee on Customs Valuation, 5 May 1981, VAL/M/2, at 9 s. 5, Where the US replied that an ex-facroty prices are acceptablke for customs valuation, (accessed 29 Dec. 2021); (1985), https://laws-lois.justice.gc.ca/eng/acts/c-52.6/page-8.html#h-140175, 20 R.S.C., c. 1 (2nd Supp), (accessed 29 Dec. 2021). also Canada Border Services Agency, Customs Valuation Handbook 10 and 11 (Online 2019), https://www.cbsa-asfc.gc.ca/import/valuation-valeur/customs-val-douane-eng.pdf (accessed 29 Dec. 2021); (1901) Customs Act, 21, p. 159. , (1);\n, p. 159. , 22 Ibid., s. (2); , p. 161. , 23 Ibid., s. (1); , p. 154. , 24 Ibid., s; (2011) Instructions and Guidelines – Customs Valuation, 25. , https://www.abf.gov.au/help-and-support-subsite/files/instructions-guidelines-customs-valuation.pdf, 25 Department of Immigration and Border Protection, (Online Sept), (accessed 29 Dec. 2021); also WTO Committee on Customs Valuation, 30 July 1989, VAL/M/24, at 10 s. 31, where Austrlia responded to a US question, concering the dutiablity of Australia inland transportation costs, before exporting; https://docs.wto.org/gattdocs/q/TR/VAL/M24.pdf (accessed 29 Dec. 2021);\n(2018) Customs and Excise Act, 26, p. 4. , (NZ) Sch. 4, s;\n, p. 7. , 27 Ibid., s; (2018) Guide to Applying for a Customs Valuation Ruling on Imported Goods, , https://www.customs.govt.nz/globalassets/documents/guides/guide-apply-customs-valuation-ruling-on-imported-goods.pdf, 28 Ibid., s. 7(c). also New Zealand Customs Service, (Online Oct), (accessed 29 Dec. 2021);\n(2014) Government Gazette no. 552, 589. , https://www.gov.za/sites/default/files/gcis_document/201409/37821gon552act30of2014.pdf, 29 Customs Duty Act 2014 (ZA), 10 July (accessed 29 Dec. 2021);\n(1984) 30 WTO Committee on Customs Valuation, , https://docs.wto.org/gattdocs/q/TR/VAL/M9.pdfhttps://docs.wto.org/gattdocs/q/TR/VAL/Spec9.pdf, 13 July VAL/M/9, at 15, (accessed 29 Dec. 2021);\nhttps://pdf.usaibidgov/pdf_docs/PA00JZ31.pdf, 31 EAC Customs Valuation Manual, A Guide to the Customs Valuation of Imported Goods in the East African Community, ss 2.1.3 and 2.1.4. This guide includes Kenya, Tanzania, Uganda, Rwanda and Burundi, also East African Community Customs Management Act, Fourth Schedule, Determination of Value of Imported Goods Liable to Ad Valorem Import Duty, s. 9(2), Adjustments to Value, https://trade.tanzania.go.tz/media/EAC_Customs_ Management_Act_(Revised)[1]_1.pdf (accessed 29 Dec. 2021); 32 Regulation (EU) No 952/2013 of the European Parliament and of the Council of 9 Oct. 2013 laying down the Union Customs Code, , https://eur-lex.europa.eu/legal-content/EN/TXT/?uri=CELEX:02013R0952-20200101;\n(2021) Compendium of Customs Valuation Texts, 50. , https://ec.europa.eu/taxation_customs/document/download/9a13b89e-9e5e-482e-be0b-f593d96bc815_en, also European Commission, (Online), (accessed 29 Dec. 2021);\n(2021) 33 For example, importers in Peru, a state which imposes duties on the CIF value, face the same problem: see the article (in Spanish) by Cristian Calderón, , https://lacamara.pe/cristian-calderon-mitigando-los-efectos-de-la-crisis-mundial-del-flete-maritimo/, (Web Page, 11 Oct), (accessed 29 Dec. 2021);\nhttps://www.chamber.org.il/foreigntrade/1109/1111/116962/, 34 (accessed 29 Dec. 2021); (2007) 35 Hdlt (Tel-Aviv) 26076–02-20 Adv. Israel Bachar vs. comfortability systems, , Ltd. (8 July 2020);\n36 Ecuador’s Ministry of Production, Foreign Trade, Investments and Fisheries, , https://www.produccion.gob.ec/menos-impuestos-para-aliviar-el-impacto-del-costo-del-flete-en-el-comercio-ecuatoriano/, (in Spanish) (accessed 29 Dec. 2021). originRegion=eu-west-1&amp;amp;originCreation=20211229141024 (accessed 29 Dec. 2021)","page":"113-120","publisher":"Kluwer Law International","publisher-place":"Department at Price Waterhouse Coopers (PWC), Israel","title":"The COVID-19 Pandemics’ Impact on Customs Valuation and Import Duties: An Israel Perspective, and a Wider Comparison","type":"article-journal","volume":"17"},"uris":["http://www.mendeley.com/documents/?uuid=e7206426-523f-4571-809a-4ba0052ef0bc"]},{"id":"ITEM-5","itemData":{"DOI":"10.1080/13504851.2012.725924","ISSN":"13504851 (ISSN)","abstract":"Although there is abundant literature on the analysis of transportation costs in international trade, there are practically no studies concerning delivery terms defined in the International Commercial Terms (Incoterms). This article aims to take a first step using the information on Incoterms usage provided by the Spanish Foreign Trade Statistics. © 2013 Copyright Taylor and Francis Group, LLC.","author":[{"dropping-particle":"","family":"Rosal","given":"I","non-dropping-particle":"del","parse-names":false,"suffix":""}],"container-title":"Applied Economics Letters","id":"ITEM-5","issue":"6","issued":{"date-parts":[["2013"]]},"language":"English","note":"Cited By :2\n\nExport Date: 2 April 2023\n\nCorrespondence Address: del Rosal, I.; Department of Applied Economics, , Oviedo, 33006, Spain; email: irosal@uniovi.es\n\nReferences: Anderson, J.E., van Wincoop, E., Trade costs (2004) Journal of Economic Literature, 423, pp. 691-751; \nBehar, A., Venables, A.J., Transport costs and international trade (2011) A Handbook of Transport Economics, pp. 97-115. , In: Palma A., Lindsey R., Quinet E., editors Cheltenham: Edward Elgar;\nBergami, R., The link between Incoterms 2000 and Letter of Credit Documentation requirement and payment risk (2006) Journal of Business Systems, Governance and Ethics, 1, pp. 49-58;\nBrant, R., Assessing proportionality in the proportional odds model for ordinal logistic regression (1990) Biometrics, 46, pp. 1171-1178;\n(2006) Statistics on the Trading of Goods - User Guide, , Commission European, Luxembourg: Office for Official Publications of the European Communities;\nHead, K., Mayer, T., Ries, J., The erosion of colonial trade linkages after independence (2010) Journal of International Economics, 81, pp. 1-14;\nHien, N., Laporte, G., Roy, J., Business environment factors, Incoterms selection and export performance (2009) Operations and Supply Chain Management, 2, pp. 63-78;\nHummels, D., Transportation costs and international trade in the second era of globalization (2007) Journal of Economic Perspectives, 21, pp. 131-154;\n(1990) Incoterms 1990, , ICC, Paris: ICC Publishing;\n(1999) Incoterms 2000, , ICC, Paris: ICC Publishing;\nLong, J.S., Freese, J., (2006) Regression Models for Categorical Dependent Variables Using Stata, , College Station, TX: Stata Press;\nPedersen, E.L., Gray, R., The transport selection criteria of Norwegian exporters (1998) International Journal of Physical Distribution &amp;amp; Logistics Management, 28, pp. 108-120;\nWilliams, R., Generalized ordered logit/ partial proportional odds models for ordinal dependent variables (2006) Stata Journal, 6, pp. 58-82;\nWooldridge, J.M., (2010) Econometric Analysis of Cross Section and Panel Data, , 2nd, Cambridge, MA: MIT Press","page":"606-610","publisher-place":"Department of Applied Economics, University of Oviedo, Oviedo, 33006, Spain","title":"Delivery terms in international trade: Some evidence for Spain","type":"article-journal","volume":"20"},"uris":["http://www.mendeley.com/documents/?uuid=139f7659-2da0-4fd8-9321-2880fc058605"]},{"id":"ITEM-6","itemData":{"DOI":"10.35611/jkt.2021.25.1.152","ISSN":"1229828X (ISSN)","abstract":"Purpose – This paper has an objective to suggest reasonable criteria in choosing Incoterms 2020 rules for efficient and effective logistics management in that the Incoterms rules affect not only the rights and obligations of the parties to the sales contract but also the control and management of logistics system and transaction costs in the transaction. Design/methodology – An analysis of the various factors is needed to assess the positive or negative impact on global value chain in choosing Incoterms rules from a total logistics view. This study analyzes the impact of which the content of individual incoterms rules can have on the operation of international logistics systems under the global value chain from a strategic perspective to suggest reasonable criteria for selection of Incoterms rules depending on the transaction situation. Findings – Results of this study shows that consideration of various aspects which includes the characteristics of the products, logistics capabilities, infrastructure, transaction volume, operational cost, customs regulations, tax and accounting should be reflected in choosing the appropriate Incoterms rules. Therefore, in order to minimize the total cost and improve logistics performance, it may be helpful to develop a decision support model which allows users to select appropriate Incoterms rules based on various influencing factors. Originality/value – This Study is different from previous research which has mainly focused on the rights and obligations of the parties to the transaction regarding the transfer of risks and costs under the Incoterms. In addition, this study has significance in that it provides implications for export and import companies that can be able to use Incoterms as a strategic tool to efficiently manage the global value chain and improve supply chain performance. © 2021 Korea Trade Research Association. All rights reserved.","author":[{"dropping-particle":"","family":"Yang","given":"J.-H.","non-dropping-particle":"","parse-names":false,"suffix":""}],"container-title":"Journal of Korea Trade","id":"ITEM-6","issue":"1","issued":{"date-parts":[["2021"]]},"language":"English","note":"Cited By :3\n\nExport Date: 2 April 2023\n\nCorrespondence Address: Yang, J.-H.; Department of Logistics and International Trade, South Korea; email: y4381@jj.ac.kr\n\nReferences: Ronai, Bob, How Do the New Incoterms® 2020 Rules Impact the Supply Chain and Logistics Industry? (2019) CargoNOW Magazine, , https://cargonow.world/how-do-the-new-incoterms-2020-rules-impact-the-supply-chain-and-logistics-industry/; \nRonai, Bob, (2020) INCOTERMS® 2020 RULES: A Short Summary of Key Changes, Advantages and Disadvantages, Trade Finance Global, , https://www.tradefinanceglobal.com/freight-forwarding/incoterms/;\nCHOI, Kwon-Soo, PARK, Kwang-So, JIN, Hyung-Suk, Eun-Ji, OH, A Study on the Accounting Methods for Imported Goods in Transit in terms of Incoterms (2020) The International Commerce and Law Review, 85, pp. 1-25;\n(2020) Incoterms® (2020): The hidden champions of efficiency, , https://www.readkong.com/page/incoterms-2020-deloitte-8136872/, Deloitte;\nDenneman, P., (2020) Incoterms® 2020: Beware of What is Changing to Avoid Risk, , https://www.scmdojo.com/incoterms-2020/, SCMDOJO;\nGallant, P., (2014) How to Ship on the Right Terms, Canadian Business, , https://www.canadianbusiness.com/economy/why-donald-trumps-free-trade-opposition-is-canadas-opportunity/;\n(2019) Incoterms</w:instrText>
      </w:r>
      <w:r w:rsidR="00CE608E" w:rsidRPr="000004DB">
        <w:rPr>
          <w:rFonts w:ascii="Segoe UI Symbol" w:eastAsia="MS Gothic" w:hAnsi="Segoe UI Symbol" w:cs="Segoe UI Symbol"/>
          <w:sz w:val="24"/>
          <w:szCs w:val="24"/>
          <w:lang w:val="en"/>
        </w:rPr>
        <w:instrText>Ⓡ</w:instrText>
      </w:r>
      <w:r w:rsidR="00CE608E" w:rsidRPr="000004DB">
        <w:rPr>
          <w:rFonts w:ascii="Times New Roman" w:hAnsi="Times New Roman" w:cs="Times New Roman"/>
          <w:sz w:val="24"/>
          <w:szCs w:val="24"/>
          <w:lang w:val="en"/>
        </w:rPr>
        <w:instrText xml:space="preserve"> 2020, , ICC KCCI;\nKim, Ko-Hyun, Kwang-So, Park, A Trade Statistics and Survey on the Use of Incoterms in Korea (2020) The International Commerce and Law Review, 86, p. 232;\nKyriakides, G., (2020) The Impact of Incoterms® 2020: Changes and What You Actually Need To Know, International Cargo Express, , https://www.icecargo.com.au/incoterms-2020/;\nLloyd-Lewis, E., (2019) A Practical Overview of ICC Incoterms 2020, , https://www.clydeco.com/en/insights/2019/10/a-practical-overview-of-icc-incoterms-2020/, Clyde &amp;amp; Co;\nMalfliet, J., Incoterms 2010 and the mode of transport: how to choose the right term (2011) Proceedings in Management challenges in the 21st century: transport and logistics: opportunity for Slovakia in the era of knowledge economy, Proceedings, pp. 163-179;\nRamberg, J., (2011) ICC Guide to Incoterms 2010, , ICC;\nReynolds, F., How Choice of Incoterms Affects Revenue Recognition (2006) Managing Export &amp;amp; Imports (MEI), (6-1), pp. 2-4;\nRoos, P., (2011) Incoterminology 2010, , NT Pincevision;\nSmith, B., Optimizing your Import Supply Chain (2006), pp. 8-10. , Western Reporter; (2020) Logistics industry costs worldwide from 2010 to 2018, , https://www.statista.com/statistics/943500/logistics-industry-costs-worldwide/, Statista;\nVogt, J., (2018) The Use-and Misuse-of Incoterms, Supply Chain Brain, , https://www.supplychainbrain.com/articles/28148-the-use-and-misuse-of-incoterms;\nYang, Jung-Ho, A Study on the Risk Allocation between Parties under the Carriage of Dangerous Goods by Sea (2009) The International Commerce and Law Review, 85, pp. 297-335;\nYang, Jung-Ho, A Study on the Reasonable Criterion in the Choice of Incoterms 2010 Rules (2013) The Korean Academy for Trade Credit Insurance, 14 (4), pp. 227-254","page":"152-168","publisher":"Korea Trade Research Association","publisher-place":"Department of Logistics and International Trade, Jeonju University, South Korea","title":"A study on the reasonable choice and utilization of incoterms 2020 rules from the perspective of logistics and supply chain management","type":"article-journal","volume":"25"},"uris":["http://www.mendeley.com/documents/?uuid=a5f07254-6718-4350-b815-bd496b8cb9c3"]},{"id":"ITEM-7","itemData":{"DOI":"10.35611/jkt.2021.25.1.203","ISSN":"1229828X (ISSN)","abstract":"Purpose – The purpose of this study is to review and analyzes the contract of carriage and delivery/transport document in light of the major changes made to the Incoterms® 2020 rules forced into effect on January 1st, 2020. Design/methodology – This study analyzed responsibility for the loading and unloading of goods under the contract of carriage in Incoterms 2020® rules forced into effect by the ICC from January 1, 2020, and what document must be presented as evidence of delivery by the seller. Findings – A review revealed that in Rule C, the costs of unloading at the place of destination are determined by the terms of the contract of carriage, and in the DAP and DDP rules, if the seller bears the unloading costs, such unloading costs cannot be recovered from the buyer. To settle this issue, the seller needs to make a contract of carriage by sea with the carrier on FI terms. Furthermore, in the case of containerized goods that the FCA should be used, FOB was misused because the seller could not present an on-board bill of lading in the L/C transaction. However, it was confirmed that in FCA, the parties can use an optional mechanism to issue an on-board bill of lading. Originality/value – Incoterms 2020® rules are still widely used in international trade by parties to contract sales around the world, just like Incoterms 2010® rules. This study attempts to reduce or eliminate disputes that may arise from interpretative misunderstandings between the parties in the contract of sales concluded by the seller and the buyer. © 2021 Korea Trade Research Association. All rights reserved.","author":[{"dropping-particle":"","family":"Jeon","given":"S.-H.","non-dropping-particle":"","parse-names":false,"suffix":""}],"container-title":"Journal of Korea Trade","id":"ITEM-7","issue":"1","issued":{"date-parts":[["2021"]]},"language":"English","note":"Export Date: 2 April 2023\n\nCorrespondence Address: Jeon, S.-H.; Department of Global Trade and Business, South Korea; email: shjeon@jbm.ac.kr\n\nFunding details: Joongbu University\n\nFunding text 1: *This paper was supported by Joongbu University Research &amp;amp; Development Fund, in 2019.\n\nReferences: Ademuni-Odeke, X., The Insurance Clause in Incoterms 2020: The Latest Stage in Its Evolution and a Progressive Development 1980-2020 (PART II) (2020) European Insurance Law Review, 2020 (2), p. 48. , http://www.erevija.org/pdf/articles/eng/XXX%20Ademini%20Odeke%20engl.pdf; \nAdemuni-Odeke, X., The Insurance Clause in Incoterms 2020: The Latest Stage in Its Evolution and a Progressive Development 1980-2020 (PART I) (2020) European Insurance Law Review, 2020 (1), pp. 28-29. , http://www.erevija.org/pdf/articles/eng/Ademuni%20Odeke%20engl.pdf;\n(2020) Incoterms 2020: What Shippers Need To Know, , https://blog.averittexpress.com/incoterms-2020-what-shippers-need-to-know, Averitt Express (May 20);\nBarrios, K., (2017) Understanding Incoterms (International Commercial Terms), , https://www.xeneta.com/blog/incoterms, (October 10);\nBrunner, R., (2019) Incoterms® 2020: New Rules for International Trade, , https://www.lexology.com/library/detail.aspx?g=6cb8bec9-6e93-4205-a34e-94c450ae45e1, (October 29);\nGhaffar, F., (2020) Incoterms 2020: What Has Changed &amp;amp; How It Impacts International Trade?, , https://menaentrepreneur.org/2020/06/incoterms-2020-what-has-changed-how-it-impacts-international-trade, (June 1);\n(2019) Practical Guide to Incoterms 2020, , https://globalnegotiator.com/files/incoterms-2020-book.pdf, Global Negotiator London: Author;\nHong, Jae-Sung, Song, Jin-Gu, Misuse Challenges of Container Loading Conditions and Practical Points to Note in the FCA Rules of Incoterms 2020® (2020) Journal of International Trade &amp;amp; Commerce, 16 (5), pp. 375-388. , http://dx.doi.org/10.16980/jitc.16.5.202010.375;\n(2010) Incoterms® 2010: ICC Rules for the Use of Domestic and International Trade Terms, , International Chamber of Commerce (ICC) Paris: ICC Services Publications;\n(2019) ICC Prepares to Launch Incoterms® 2020, , https://iccwbo.org/media-wall/news-speeches/icc-prepares-launch-incoterms-2020, International Chamber of Commerce (ICC) (a, April 1);\n(2019) Incoterms® 2020: ICC Rules for the Use of Domestic and International Trade Terms, , International Chamber of Commerce (ICC) (b), Paris: ICC Services Publications;\nFCA: Free Carrier (Place of Delivery): Incoterms 2020, , https://internationalcommercialterms.guru/incoterms-fca, International Commercial Terms (n.d), (accessed June 11, 2020);\nJeon, Soon-Hwan, An Assessment of the Major Revision of Incoterms® 2020 Rules (2019) Journal of International Trade &amp;amp; Commerce, 16 (2), pp. 125-151. , http://dx.doi.org/10.16980/jitc.16.2.202004.125;\nIncoterms 2020 Major Changes, , https://voltransvn.com/incoterms-2020-major-changes, Khanh (2020, January 3);\nKim, Dong-Chun, A Study on the Delivered at Terminal (DAT) Term under Incoterms 2010 (2019) Journal of International Trade &amp;amp; Commerce, 15 (1), pp. 473-490. , http://dx.doi.org/10.16980/jitc.15.1.201902.473;\nKim, Dong-Chun, A Review and Analysis of the Modified Clauses of Insurance under Incoterms® 2020 (2020) Journal of International Trade &amp;amp; Commerce, 16 (2), pp. 495-507. , http://dx.doi.org/10.16980/jitc.16.3.202006.495;\nLee, Jung-Sun, Issues in Trade Documents Resulting from the Misuse of Trade Terms in Incoterms: A Literature Review (2019) Journal of International Trade &amp;amp; Commerce, 15 (6), pp. 633-652. , http://dx.doi.org/10.16980/jitc.15.6.201912.633;\nPark, Suk-Jae, A Study on the Problems Related to International Multimodal Transport in International Trade Rules (2020) Journal of International Trade &amp;amp; Commerce, 16 (1), pp. 401-410. , http://dx.doi.org/10.16980/jitc.16.1.202002.401;\nCollins, PF, What Are Incoterms®? Introducing Incoterms® 2020, , https://www.pfcollins.com/incoterms, (n.d), (accessed September 18, 2020);\nShin, Hak-Sung, Kim, Dong-Yoon, An Examination of the Revised Contents of Incoterms®2020 Rules (2019) Journal of International Trade &amp;amp; Commerce, 15 (5), pp. 537-552. , http://dx.doi.org/10.16980/jitc.15.5.201910.537;\n(2020) Incoterms 2020 Explained: 11 Terms, 5 Changes: American Export Lines, , https://www.shipit.com/archives/2020/04/07/incoterms-2020-explained-11-terms-5-changes-american-export-lines, Shipit (April 7);\nThompson, B., (2020) Incoterms® 2020 Explained: The Complete Guide, , https://incodocs.com/blog/incoterms-2020-explained-the-complete-guide, (January 20);\nWhat You Need to Know: Shipping Documentation, , https://transporteca.co.uk/shipping-documentation, Transporteca (n.d), (accessed June 15, 2020);\nWoo, Kwang-Myung, A Study on the Problems and Practical Precaution of Container Shipping Terms in Incoterms® 2020 (2020) Journal of International Trade &amp;amp; Commerce, 16 (5), pp. 353-374. , http://dx.doi.org/10.16980/jitc.16.5.202010.353","page":"203-219","publisher":"Korea Trade Research Association","publisher-place":"Department of Global Trade and Business, Joongbu University, South Korea","title":"An analysis of delivery/transport documents content in relation to the contract of carriage under incoterms 2020 rules*","type":"article-journal","volume":"25"},"uris":["http://www.mendeley.com/documents/?uuid=e371f627-e227-4102-aa91-9a1a6605cf92"]},{"id":"ITEM-8","itemData":{"DOI":"10.1016/j.jacceco.2022.101568","ISSN":"01654101 (ISSN)","abstract":"We study the roles of the head office (HO) and the business units (BUs) of a multinational corporation (MNC) in reducing income tax and tariff payments through internal transfer prices in international trades. Using confidential transfer price data of a large MNC, we analyze how the different elements of internal transfer prices set by the HO and BUs vary differently from external prices with income tax rates, tariff rates, and the tradeoff between the two. Absent severe agency conflicts, we find that the BUs contribute more to tax planning than the HO, despite that explicit incentives to do so are not included in the compensation schemes. The roles of the HO and BUs vary with product market competition, the risk of conflicts with tax and customs authorities, and agency problems within the firm. Moreover, we provide evidence of strategic trade cost allocations among BUs to reduce income taxes. © 2022 The Authors","author":[{"dropping-particle":"","family":"Kohlhase","given":"S","non-dropping-particle":"","parse-names":false,"suffix":""},{"dropping-particle":"","family":"Wielhouwer","given":"J L","non-dropping-particle":"","parse-names":false,"suffix":""}],"container-title":"Journal of Accounting and Economics","id":"ITEM-8","issued":{"date-parts":[["2022"]]},"language":"English","note":"Cited By :1\n\nExport Date: 2 April 2023\n\nCODEN: JAECD\n\nCorrespondence Address: Kohlhase, S.; Rotterdam School of Management, 3000 DR, Netherlands; email: kohlhase@rsm.nl\n\nReferences: Al-Eryani, M.F., Alam, P., Akhter, S.H., Transfer pricing determinants of U.S. Multinationals (1990) J. Int. Bus. Stud., 21, pp. 409-425; \nAnderson, J.E., Van Wincoop, E., Trade costs (2004) J. Econ. Lit., 42 (3), pp. 691-751;\nBaersch, S.-E., Ditz, X., Kluge, X., Transfer pricing in business practice in the light of BEPS and digital transformation (2019) Int. Transfer Pricing J. May/June, pp. 184-188;\nBaersch, S.-E., Heckemeyer, J.H., Olbert, M., Transfer pricing and the decision-making authority of the tax function in multinational companies (2019), https://ssrn.com/abstract=3271267, Access on July 15, 2021; Baldenius, T., Melumad, N.D., Reichelstein, S., Integrated managerial and tax objectives in transfer pricing (2004) Account. Rev., 79 (3), pp. 591-615;\nBernard, A.B., Jensen, J.B., Redding, S.J., Schott, P.K., Intrafirm trade and product contractability (2010) Am. Econ. Rev.: Papers &amp;amp; Proceedings, 100 (2), pp. 444-448. , https://www.nber.org/papers/w12493, Available at:;\nBernard, A.B., Jensen, J.B., Schott, P.K., Transfer pricing by U.S. based multinational firms (2006) NBER Working, , Paper No. 12493;\nBlouin, J.L., Robinson, L.A., Seidman, J.K., Conflicting transfer pricing incentives and the role of coordination (2018) Contemp. Account. Res., 35 (1), pp. 87-116;\nChen, C.X., Chen, S., Pan, F., Wang, Y., Determinants and consequences of transfer pricing autonomy: an empirical investigation (2015) J. Manag. Account. Res., 27 (2), pp. 225-259;\nClausing, K., Tax-motivated transfer pricing and U.S. intrafirm trade prices (2003) J. Publ. Econ., 87 (9), pp. 2207-2223;\nCristea, A.D., Nguyen, D.X., Transfer pricing by multinational firms: new evidence from foreign firm ownerships (2016) Am. Econ. J. Econ. Pol., 8 (3), pp. 170-202;\nDavies, R.B., Martin, J., Parenti, M., Toubal, F., Knocking on tax haven's door: multinational firms and transfer pricing (2018) Rev. Econ. Stat., 100 (1), pp. 120-134;\nDe Simone, L., Does a common set of accounting standards affect tax-motivated income shifting for multinational firms? (2016) J. Account. Econ., 61 (1), pp. 145-165;\nDe Simone, L., Klassen, K., Seidman, J., Unprofitable affiliates and income shifting behavior. Account (2017) Rev., 92 (3), pp. 113-136;\nDessein, W., Authority and communication in organizations (2002) Rev. Econ. Stud., 69 (4), pp. 811-831;\nDiewert, W.E., Alterman, W., Eden, L., Transfer prices and import and export price indexes: theory and practice (2005), https://papers.ssrn.com/sol3/papers.cfm?abstract_id=734883, Access on (Accessed 11 October 2021); Dischinger, M., Riedel, N., Corporate taxes and the location of intangible assets within multinational firms (2011) J. Publ. Econ., 95 (7-8), pp. 691-707;\nDuchin, R., Sosyura, D., Divisional managers and internal capital markets (2013) J. Finance, 68 (2), pp. 387-429;\nDürr, O.F., Göx, R.F., Strategic incentives for keeping one set of books in international transfer pricing (2011) J. Econ. Manag. Strat., 20 (1), pp. 269-298;\nTransfer Pricing 2003 Global Survey, Ernst &amp;amp; Young (2003), EYGM Limited EYGM No. OO0372; Global Transfer Pricing Survey: Addressing the Challenges of Globalization, -Ernst &amp;amp; Young (2010), EYGM Limited; Eden, L., Taxing Multinationals: Transfer Pricing and Corporate Income Taxation in North America (1998), University of Toronto Press Incorporated Toronto; Ederhof, M., Incentive compensation and promotion-based incentives of mid-level managers: evidence from a multinational corporation (2011) Account. Rev., 86 (1), pp. 131-153;\nFeenstra, R.C., Symmetric pass-through of tariffs and exchange rates under imperfect competition: an empirical test (1989) J. Int. Econ., 27 (1-2), pp. 25-45;\nGraham, J.R., Harvey, C.R., Puri, M., Capital allocation and delegation of decision-making authority within firms (2015) J. Financ. Econ., 115 (3), pp. 449-470;\nGrubert, H., Mutti, J., Taxes, tariffs and transfer pricing in multinational corporate decision making (1991) Rev. Econ. Stat., 73 (2), pp. 285-293;\nHall, C.M., Lusch, S.J., Strategic cost shifting and state tax minimization (2018) J. Manag. Account. Res., 30 (1), pp. 55-72;\nHalperin, R.M., Srinidhi, B., U.S. income tax transfer pricing rules and resource allocation: the case of decentralized multinational firms (1991) Account. Rev., 66 (1), pp. 141-157;\nHanlon, M., Heitzman, S., A review of tax research (2010) J. Account. Econ., 50 (2-3), pp. 127-178;\nHeckemeyer, J.H., Overesch, M., Multinationals' profit response to tax differentials: effect size and shifting channels (2017) Can. J. Econ., 50 (4), pp. 965-994;\nHiggins, D., Omer, T.C., Phillips, J.D., The influence of a firm's business strategy on its tax aggressiveness (2015) Contemp. Account. Res., 32 (2), pp. 674-702;\nHines, J.R., Jr., Rice, E.M., Fiscal paradise: foreign tax havens and American business (1994) Q. J. Econ., 109 (1), pp. 149-182;\nHoenen, A., Kostova, T., Utilizing the broader agency perspective for studying headquarters–subsidiary relations in multinational companies (2015) J. Int. Bus. Stud., 46, pp. 104-113;\nHorst, T., The theory of the multinational firm: optimal behavior under different tariff and tax rates (1971) J. Polit. Econ., 79 (5), pp. 1059-1072;\nHuizinga, H., Laeven, L., International profit shifting within multinationals: a multi-country perspective (2008) J. Publ. Econ., 92 (5-6), pp. 1164-1182;\n(2020), https://iccwbo.org/resources-for-business/incoterms-rules/incoterms-2020/, Incoterms 2020. Available at: (Accessed 10 March 2021); Irarrazabal, A., Moxnes, A., Oromolla, L.D., The margins of multinational production and the role of intrafirm trade (2013) J. Polit. Econ., 121 (1), pp. 74-126;\nJensen, M.C., Meckling, W.H., Theory of the firm: managerial behavior, agency costs and ownership structure (1976) J. Financ. Econ., 3 (4), pp. 305-360;\nKlassen, K., Laplante, S., Are U.S. multinational corporations becoming more aggressive income shifters? (2012) J. Account. Res., 50 (5), pp. 1245-1285;\nKim, W.C., Mauborgne, R.A., Procedural justice, attitudes, and subsidiary top management compliance with multinationals' corporate strategic decisions (1993) Acad. Manag. J., 36 (3), pp. 502-526;\nKostova, T., Nell, P.C., Hoenen, A.K., Understanding agency problems in headquarters-subsidiary relationships in multinational corporations: a contextualized model (2018) J. Manag., 44 (7), pp. 2611-2637;\nKubick, T.R., Lynch, D.P., Mayberry, M.A., Omer, T.C., Product market power and tax avoidance: market leaders, mimicking strategies, and stock returns (2015) Account. Rev., 90 (2), pp. 675-702;\nLöffler, C., Divisionalization and domestic transfer pricing for tax considerations in the multinational enterprise (2019) Manag. Account. Res., 45;\nMarkle, K.S., Mills, L.F., Williams, B., Implicit corporate taxes and income shifting (2020) Account. Rev., 95 (3), pp. 315-342;\nMoers, F., Performance measure properties and delegation (2006) Account. Rev., 81 (4), pp. 897-924;\nNagar, V., Delegation and incentive compensation (2002) Account. Rev., 77 (2), pp. 379-395;\nNarayanan, V.G., Smith, M., Impact of competition and taxes on responsibility center organization and transfer prices (2000) Contemp. Account. Res., 17 (3), pp. 497-529;\nAddressing Base Erosion and Profit Shifting (2013), OECD Publishing Paris; OECD Transfer Pricing Guidelines for Multinational Enterprises and Tax Administrations 2022 (2022), OECD Publishing Paris; OECD/G20 Inclusive Framework on BEPS Progress Report July 2018 - May 2019 (2019), OECD Publishing Paris; Oxley, J., Pandher, G., Equity-based incentives and collaboration in the modern multibusiness firm (2016) Strat. Manag. J., 37 (7), pp. 1379-1394;\nReilly, M., Scott, P., Mangematin, V., Alignment or independence? Multinational subsidiaries and parent relations (2012) J. Bus. Strat., 33 (2), pp. 4-11;\nRobinson, L.A., Stocken, P.C., Location of decision rights within multinational firms (2013) J. Account. Res., 51 (5), pp. 1261-1297;\nSwenson, D.L., Tax reforms and evidence of transfer pricing (2001) Natl. Tax J., 54 (1), pp. 7-25;\nTang, R.Y.W., Transfer pricing in the 1990s (1992) Manag. Account., 73 (8), pp. 22-26;\nWiseman, R.M., Cuevas-Rodríguez, G., Gomez-Mejia, L.R., Towards a social theory of agency (2012) J. Manag. Stud., 49 (1), pp. 202-222;\nWulf, J., Authority, risk, and performance incentives: evidence from division manager positions inside firms (2007) J. Ind. Econ., 55 (1), pp. 169-196","publisher":"Elsevier B.V.","publisher-place":"Erasmus University Rotterdam Rotterdam School of Management, Netherlands","title":"Tax and tariff planning through transfer prices: The role of the head office and business unit","type":"article-journal"},"uris":["http://www.mendeley.com/documents/?uuid=3b4e29f1-9bea-4c79-a85e-08c9f92648e3"]},{"id":"ITEM-9","itemData":{"DOI":"10.1080/13675567.2021.1897974","ISSN":"13675567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Group.","author":[{"dropping-particle":"","family":"Davis","given":"J","non-dropping-particle":"","parse-names":false,"suffix":""},{"dropping-particle":"","family":"Vogt","given":"J","non-dropping-particle":"","parse-names":false,"suffix":""}],"container-title":"International Journal of Logistics Research and Applications","id":"ITEM-9","issue":"9","issued":{"date-parts":[["2022"]]},"language":"English","note":"Export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9-13","page":"1263-1286","publisher":"Taylor and Francis Ltd.","publisher-place":"GMSC Department Marilyn Davies College of Business, University of Houston-Downtown, Houston, TX, United States","title":"Incoterms® 2020 and the missed opportunities for the next version","type":"article-journal","volume":"25"},"uris":["http://www.mendeley.com/documents/?uuid=760b2637-62bb-4428-b584-6dccc7492b21"]},{"id":"ITEM-10","itemData":{"ISSN":"1756-9850","author":[{"dropping-particle":"","family":"Bergami","given":"Roberto","non-dropping-particle":"","parse-names":false,"suffix":""},{"dropping-particle":"","family":"Tichá","given":"Lucie","non-dropping-particle":"","parse-names":false,"suffix":""}],"container-title":"International Journal of Economics and Business Research","id":"ITEM-10","issue":"2","issued":{"date-parts":[["2022"]]},"page":"255-273","publisher":"Inderscience Publishers (IEL)","title":"Managing Incoterms® 2020 export risks","type":"article-journal","volume":"23"},"uris":["http://www.mendeley.com/documents/?uuid=f8fce598-8945-4297-9301-ed56a812d507"]},{"id":"ITEM-11","itemData":{"author":[{"dropping-particle":"","family":"Kim","given":"Sang Man","non-dropping-particle":"","parse-names":false,"suffix":""}],"container-title":"Global Trade and Customs Journal","id":"ITEM-11","issue":"1","issued":{"date-parts":[["2022"]]},"title":"Some Critical &amp; Controversial Issues on Incoterms 2020 for International Trade","type":"article-journal","volume":"17"},"uris":["http://www.mendeley.com/documents/?uuid=7a18c138-d1e5-43ab-a2bc-992bc8e62be1"]},{"id":"ITEM-12","itemData":{"DOI":"10.22306/al.v9i2.291","ISBN":"18650929 (ISSN); 9783030592691 (ISBN)","ISSN":"1229828X (ISSN)","abstract":"Incoterms® define obligations, risks and costs that each of the seller and buyer must incur in the movement of the goods for a trade. New versions are issued when deemed necessary by the International Chamber of Commerce (ICC) and are aimed at including new trade realities and fostering trade. A new version Incoterms® 2020 is now available to replace the previous version, namely Incoterms® 2010. The research using Construct Clarity theory shows there are issues with the Incoterms® 2020 both as to the holistic ability to cover all trade as well as in the individual Incoterms® themselves. These issues are analysed in detail and, based on this research, the authors synthesize these into the reasoned aspects the Incoterms® drafting committee missed to further improve the Incoterms® rules. The authors extend this research and present the improvements that could be achieved in a future issue of the Incoterms® rules. © 2021 Informa UK Limited, trading as Taylor &amp; Francis Group.","author":[{"dropping-particle":"","family":"Kim","given":"J.-H.","non-dropping-particle":"","parse-names":false,"suffix":""},{"dropping-particle":"","family":"Jeon","given":"S.-H.","non-dropping-particle":"","parse-names":false,"suffix":""},{"dropping-particle":"","family":"Yang","given":"J.-H.","non-dropping-particle":"","parse-names":false,"suffix":""},{"dropping-particle":"","family":"Davis","given":"J","non-dropping-particle":"","parse-names":false,"suffix":""},{"dropping-particle":"","family":"Vogt","given":"J","non-dropping-particle":"","parse-names":false,"suffix":""},{"dropping-particle":"","family":"Bergami","given":"Roberto","non-dropping-particle":"","parse-names":false,"suffix":""},{"dropping-particle":"","family":"Tichá","given":"Lucie","non-dropping-particle":"","parse-names":false,"suffix":""},{"dropping-particle":"","family":"Kim","given":"Sang Man","non-dropping-particle":"","parse-names":false,"suffix":""},{"dropping-particle":"","family":"Kubáňová","given":"J","non-dropping-particle":"","parse-names":false,"suffix":""},{"dropping-particle":"","family":"Otáhalová","given":"Z","non-dropping-particle":"","parse-names":false,"suffix":""},{"dropping-particle":"","family":"Senko","given":"Š","non-dropping-particle":"","parse-names":false,"suffix":""},{"dropping-particle":"","family":"Baena-Rojas","given":"J J","non-dropping-particle":"","parse-names":false,"suffix":""},{"dropping-particle":"","family":"Cano","given":"J A","non-dropping-particle":"","parse-names":false,"suffix":""},{"dropping-particle":"","family":"Tellarini","given":"G","non-dropping-particle":"","parse-names":false,"suffix":""},{"dropping-particle":"","family":"Petrová","given":"M","non-dropping-particle":"","parse-names":false,"suffix":""},{"dropping-particle":"","family":"Krügerová","given":"M","non-dropping-particle":"","parse-names":false,"suffix":""},{"dropping-particle":"","family":"Kozieł","given":"M","non-dropping-particle":"","parse-names":false,"suffix":""}],"container-title":"Journal of Korea Trade","editor":[{"dropping-particle":"","family":"R.","given":"Nemec","non-dropping-particle":"","parse-names":false,"suffix":""},{"dropping-particle":"","family":"L.","given":"Chytilova","non-dropping-particle":"","parse-names":false,"suffix":""}],"id":"ITEM-12","issue":"1","issued":{"date-parts":[["2022"]]},"language":"English","note":"From Duplicate 1 (Influence of Incoterms 2020 on Strategic Decision-making of Entrepreneurs - Petrová, M; Krügerová, M; Kozieł, M)\n\nConference code: 176875\n\nExport Date: 2 April 2023\n\nFunding text 1: This research was financially supported within the VŠB–Technical University SGS grant project No. SP2021/74 (Minimization of Risks Related to the Delivery of Goods Against the Background of the Use of INCOTERMS 2020).\n\nReferences: Bergami, R., Managing Incoterms 2010 risks: tension with trade and banking practices (2013) Int. J. Econ. Bus. Res, 6 (3), pp. 324-338; \nBejček, J., (2016) Obchodní podmínky, , Brno: Masarykova univerzita;\nDebattista, Ch, Introduction to Incoterms® 2020 (2020) INCOTERMS® 2020, , [Online] ICC;\nDobiáš, P., Malacka, M., (2019) Obchodní podmínky v mezinárodním obchodním styku, , Praha: Leges;\nDurdağ, C., The past, today and future of incoterms in international delivery: A review on the innovations in logistics (2020) Journal of Economics Library, 7, pp. 201-207;\nHolman, R., (2017) Dějiny ekonomického myšlení, , https://iccwbo.org/publication/incoterms-2020-introduction/, [cited 2020-01-10]. 4nd ed. Praha: C.H. Beck;\n(2020) Incoterms® 2020, , https://iccwbo.org/resources-forbusiness/incoterms-rules/incoterms-2020/, [Online]. [cited 2020-01-16];\nRamberg, J., (2011) ICC Guide to Incoterms 2010: Introduction, , ICC;\nRozehnalová, N., (2015) Czech private international law, , 1st edition. Brno: Masaryk University, Faculty of Law;\nSmejkal, V., Rais, K., (2013) Řízení rizik ve firmách a jiných organizacích, , 4nd ed. Praha: Grada;\nStojanović, Đ., Ivetić, J., Possibilities of using incoterms clauses in a country logistics performance assessment and benchmarking (2020) Transport Policy, 98, pp. 217-228;\nSuraraksa, J., Amchang, Ch., Sawatwong, N., Decision-Making on Incoterms 2020 of Automotive Parts Manufacturers in Thailand (2020) Journal of Asian Finance, Economics and Business, 7 (10), pp. 461-470;\nVogt, J., (2018) The Use and Misuse of Incoterms in Movement of Goods, pp. 44-47. , [Online] Supplychainbrain.com. June 2018, [cited 2020-02-01];\nVogt, J., Davis, J., The state of incoterm® research (2020) Transportation Journal, 59 (3), pp. 304-324\n\nFrom Duplicate 2 (INCOTERMS® 2020: AN UPDATE IN CONTINUITY WITH THE PAST - Tellarini, G)\n\nExport Date: 2 April 2023\n\nCorrespondence Address: Tellarini, G.; Università degli Studi di BolognaItaly\n\nFrom Duplicate 3 (TECHNIQUE FOR ESTIMATION OF COSTS AND PRICES IN CONTRACTS FOR THE INTERNATIONAL SALE OF GOODS BASED ON INCOTERMS® - Baena-Rojas, J J; Cano, J A)\n\nCited By :1\n\nExport Date: 2 April 2023\n\nCorrespondence Address: Baena-Rojas, J.J.; Institución Universitaria CEIPA, Calle 77 Sur # 40-165, Colombia; email: jose.baena@ceipa.edu.co\n\nReferences: (2020) Handbook of statistics, , www.unctad.org, [Online], Available: https://unctad.org/syste m/files/official-document/tdstat45_en.pdf [13 Jan 2022], 2020; \n(2019) Review of Maritime Transport 2019, , www.unctad.org, [Online], Available: https://unctad.org/system/files/official-document/rmt2019_en.pdf [13 Jan 2022];\nGRUSZCZYNSKI, L., The COVID-19 Pandemic and InternationalTrade: Temporary Turbulence or Paradigm Shift? (2020) European Journal of Risk Regulation, 11 (2), pp. 337-342. , https://doi.org/10.1017/err.2020.29;\n(2020) caribbean.eclac.org: The effects of the coronavirus disease (Covid-19) pandemic on international trade logistics, , https://repositorio.cepal.org/bitstream/handle/11362/45878/1/S2000496_en.pdf, [Online], Available: [13 Jan 2022];\nCANO, J.A., BAENA, J.J, Impact of information and communication technologies in international negotiation performance (2015) Review of Business Management, 17 (54), pp. 751-768. , https://doi.org/10.7819/rbgn.v17i54.1901;\nCANO, J.A., BAENA, J.J., Appropriating ICT for International Business Negotiations Performance: A Case Study of the Pacific Alliance (2018) Revista La Sallista de Investigación, 15 (1), pp. 102-112. , https://doi.org/10.22507/rli.v15n1a11;\nBAENA, J.J., CANO, J.A., CAMPO, E.A., Metodología para la Selección de Mercados Internacionales: Un Análisis de Caso para la Exportación de Bebidas Carbonatadas (2018) Dirección y Organización, 66 (1), pp. 5-16. , https://doi.org/10.37610/DYO.V0I66.532, (Original in Spain);\n(2020), www.oecd.org, Latin America economic outlook, [Online], Available: http://www.oecd.org/pub lications/latin-american-economic-outlook-20725140.htm [13 Jan 2022]; KIRBY, C., BORSA, N., (2011) Logistics as a competitiveness factor for small and medium enterprises in latin america and the caribbean, , https://publications.iadb.org/en/logistics-competitiveness-factor-small-and-medium-enterprises-latin-america-and-caribbean, [Online], Available: [13 Jan 2022];\nBRODIE, P., (2015) Commercial Shipping Handbook, , New York, Routledge;\nBEDIA, E., (2019) La importancia de los Incoterms y el seguro de la mercancía en la compraventa internacional con Far East, , https://repositorio.comillas.edu/rest/bitstreams/297575/retrieve, [Online], Available: [13 Jan 2022], (Original in Spain);\nDJAKHONGIR, S., (2019) Research Handbook on International and Comparative Sale of Goods Law, , Cheltenham, Edward Elgar Publishing;\nCAVALLER, M, (2020) El valor jurídico de los Incoterms© en el contrato de compraventa internacional de mercancías: ley aplicable y competencia judicial internacional, , http://diposit.ub.edu/dspace/bitstream/2445/146424/1/MCV_TESIS.pdf, [Online], Available: [13 Jan 2022], (Original in Spain);\nCABRERA, A., (2020) Manual de uso de las reglas Incoterms 2020, , Barcelona, Marge Books, (Original in Spain);\nANAYA, J., (2017) Logística integral: La gestión operativa de la empresa, , Madrid, Esic Editorial, (Original in Spain);\n(2010) United Nations Convention on Contracts for the International Sale of Goods, , www.uncitral.un.org, [Online], Available: https://uncitral.un.org/si tes/uncitral.un.org/files/media-documents/uncitral/en/19-09951_e_ebook.pdf [13 Jan 2022];\nCHOW, D., SCHOENBAUM, T., (2020) International Business Transactions: Problems, Cases, and Materials, , New York, Wolter Kluwer;\nHUAMÁN, M.A., Principales cambios en los Incoterms® 2020 (2020) LEX-Revista de la Facultad de Derecho y Ciencias Políticas, 18 (26), pp. 103-138. , https://doi.org/10.21503/lex.v18i26.2174, (Original in Spain);\nLONG, D., (2006) Logística internacional: administración de la cadena de abastecimiento global, , Ciudad de México, Editorial Limusa, (Original in Spain);\nBRANCH, A., (2009) Global Supply Chain Management and International Logistics, , New York, Taylor and Francis Group;\nPENG, Z., WANG, H., WANG, W., JIANG, Y., Intermodal transportation of full and empty containers in harbor-inland regions based on revenue management (2019) European Transport Research Review, 11 (7), pp. 1-18. , https://doi.org/10.1186/s12544-018-0342-4;\nPARTHASARATHI, S., Customs in international relations: the Indian context (2013) World Customs Journal, 7 (1), pp. 55-70. , https://worldcustomsjournal.org/archive/volume-7-number-1-march-2013/;\nBLONIGEN, B., WILSON, W., (2018) Handbook of International Trade and Transportation, , Massachusetts, Edward Elgar Publishing Inc;\nVILLA, J.C., BOILE, M., THEOFANIS, S., (2020) International Trade and Transportation Infrastructure Development: Experiences in North America and Europe, , Amsterdam, Elsevier;\n(2016) Las restricciones y los aranceles a las exportaciones de mercancías en el Derecho de la OMC ¿barreras tradicionales o neoproteccionismo?, , http://diposit.ub.edu/dspace/bitstream/2445/103722/3/JJBR_TESIS.pdf, BAENA. J.J.: [Online], Available: [13 Jan 2022], (Original in Spain);\nBAENA, J.J., LONDOÑO, A., Tariff barriers and non-tariff barriers: appraising Colombia’s protectionism (2020) World Customs Journal, 14 (1), pp. 71-94;\nÁLVAREZ, J., (2016) Transporte internacional de mercancías, , Madrid, Ediciones Paraninfo, (Original in Spain);\n(2021) International Chamber of Commerce (ICC), , www.iccwbo.org, [Online], Available: https://iccwbo.org/publication/incoterms-2020-practical-free-wallchart/[13 Jan 2022];\nCámara de Comercio Internacional (CCI), , www.iccspain.org, [Online], Available: https://www.iccspain.org/?s=INCOTERM [13 Jan 2022], 2021. (Original in Spain);\nMONCZKA, R., HANDFIELD, R., GIUNIPERO, L., PATTERSON, J., (2020) Purchasing &amp;amp; Supply Chain Management, , Boston, Cengage;\nCERAN, Y., ALAGOZ, A., ORTAKARPUZ, M., INCOTERMS® Costs in Internatıonal Marketıng and theır Effects on Product Prıcıng (2013) Proceedings of 8th Annual London Business Research, pp. 1-12. , 8-9 July, London\n\nFrom Duplicate 4 (Advantages and Disadvantages of Intermodal Freight Transportation - Kubáňová, J; Otáhalová, Z; Senko, Š)\n\nConference code: 250139\n\nCited By :1\n\nExport Date: 2 April 2023\n\nCorrespondence Address: Kubáňová, J.; University of Zilina, Univerzitna 8215/1, Slovakia; email: jaroslava.kubanova@fpedas.uniza.sk\n\nFunding details: 1/0245/20\n\nFunding text 1: This paper was developed under the support of project: MSVVS SR-VEGA No. 1/0245/20 Poliak, M.: Identification of the impact of a change in transport related legislation on the competitiveness of carriers and carriage safety.\n\nReferences: Bergami, R.: Managing Incoterms 2010 risks: tension with trade and banking practices, Australia, vol. 6, no. 3 (2013). file:///C:/Users/KCMD/Downloads /Managing_Incoterms_2010_risks_tension_with_trade_a%20(1).pdf. Accessed 15 Jan 2020; Caban, J., Safety of maritime transport in the Baltic Sea (2017) In: LOGI, 134. , , vol; \nEurostat (2017). https://ec.europa.eu/eurostat/statistics-explained/index.php/Freight_transpo rted_in_containers_-_statistics_on_unitisation. Accessed 15 Jan 2020; Gnap, J.: Modelling of transport and transport process in road Freight transport, 1st edn. University in Zilina. 2013120 (2013). ISBN 978-80-554-0744-9; Chłopek, Z., Strzałkowska, K., Risks posed by particulate matter to the human health and environment near transport routes (2014) The Archives of Automotive Engineering – Archiwummoto-Ryzacji, Vol. 63, No. 1;\nICC Publication: Incoterms (2020). 723E. ISBN 978-92-842-0510-3; (2020) Výkony Kombinovanej Dopravy V SR, , http://www.intermodal.sk/vykony-kombinovanej-dopravy-v-slovenskej-republike/27s. Accessed 15, Jan;\nKalasova, A., Kupculjakova, J., Thefuture inthe telematics applications as support for increased safety (2012) Transp. Probl., 7 (1), pp. 103-109;\nKalašová, A., Faith, P., Mikulski, J., Telematics applications, an important basis for improving the road safety (2015) TST 2015. CCIS, 531, pp. 292-299. , https://doi.org/10.1007/978-3-319-24577-5_29, Mikulski, J. (ed.), vol., pp. , Springer, Cham;\nKonečný, V., Šimková, I., Komačková, L., The accident rate of tourists in Slovakia (2015) LOGI – Sci. J. Transp. Logist., 6 (1), pp. 160-171;\nKubasakova, I., Jagelcak, J., Load distribution in general purpose maritime container and the analysis of load distribution on extendable semitrailer container chassis carrying different types of containers (2014) Naše More = Our Sea: znanstveno-stručni časopis Za More I Pomorstvo, 61 (5-6), pp. 106-116;\nPoliak, M., The relationship with reasonable profit and risk in public passenger transport in the Slovakia (2013) Ekonomicky Casopis, 61 (2), pp. 206-220;\nPoliak, M., Poliaková, A.: Relationof social legislationinroadtransport ondriver’s workquality. In: Mikulski, J. (ed.) TST2015. CCIS, vol. 531, pp. 300–310. Springer, Cham(2015). https://doi. org/10.1007/978-3-319-24577-5_30; Seredyuk, V.: Incoterms in practice: hidden risks (2017). https://www.theseus.fi/bitstream/han dle/10024/135838/Seredyuk_Victoria.pdf?sequence=2. Accessed 15 Jan 2020; (2020) Intermodal Promotion Centre: Dobudovanie základnej infraštruktúry intermodálnnej Dopravy V SR, , http://www.intermodal.sk/dobudovanie-infrastruktury-kombinovanej-dopravy-ref/603s. Accessed 15, Jan;\nBSI and TT Club: Cargo Theft Report (2020). https://www.ttclub.com/fileadmin/uploads/tt-club/Documents/TT_and_BSI_annual_theft_report/BSI___TT_Club_Report_2020.pdf. Accessed 15 Jan 2020; Kubasakova, I., Jagelcak, J., Logistics system just-in-time and its implementation within the company (2016) Communications: Scientific Letters of the University of Žilina, 18 (2), pp. 109-112. , , vol., no., pp;\nMarušinec, P., (2010) Nediskriminačný prístup K infraštruktúre Kombinovanej Dopravy, , http://www.intermodal.sk/nediskriminacny-pristup-k-infarstrukture/482s, Accessed 15 Jan 2020\n\nFrom Duplicate 8 (Incoterms® 2020 and the missed opportunities for the next version - Davis, J; Vogt, J)\n\nExport Date: 2 April 2023\n\nCorrespondence Address: Vogt, J.; GMSC Department Marilyn Davies College of Business, United States; email: jvogt@wwbc-inc.com\n\nReferences: Bălună, R.N., (2012) “International Rules For Merchandize Delivery–Delivery Conditions Incoterms And Raftd The Title, , Annals of Eftimie Murgu University Resita, Romania, Fascicle II, Economic Studies; \nBergami, R., Incoterms 2010: Comments on the New Revision of Delivery Terms (2011) The Vindobona Journal of International Commercial Law and Arbitration, 15 (1), pp. 157-170;\nBergami, R., Incoterms 2010: The Newest Revision of Delivery Terms (2012) Acta Universitatis Bohemiae Meridionales, 15 (2), pp. 33-40;\nBergami, R., Managing Incoterms 2010 Risks: Tension with Trade and Banking Practices (2013) International Journal of Economics and Business Research, 6 (3), pp. 324-338;\nCăruntu, C., Lăpăduşi, M.L., Complex Issues Regarding the Role and Importance of Internationally Codified Rules and Incoterms (2010) Petroleum-Gas University of Ploiesti Bulletin, Economic Sciences Series, 62 (1), pp. 98-110;\nConstantinovits, M., Vladár, Z., A Terminológia Rendszerező Elvének Változása az INCOTERMS Tükrében (2013) Magyar Terminológia, 6 (1), pp. 84-96;\nDaugherty, P.J., Ellinger, A.E., Gustin, C.M., Integrated Logistics: Achieving Logistics Performance Improvements (1996) Supply Chain Management, 1 (3), pp. 25-33;\nDugan, S., Talmaciu, I., Influence of the Changes Brought by INCOTERMS 2010 to International Trade (2012) Ovidius University Annals, Economic Sciences Series, 12 (1), pp. 41-46;\nEllinger, E., British Business Law: Banking Law (2005) Journal of Business Law, pp. 704-711. , November;\nFedi, L., La Nouvelle Codification des Incoterms® 2010: Entre Simplification et Rationalisation de la Vente Maritime Internationale (2011) Droit Maritime Français, 724 (April 2011), pp. 303-313;\nFedi, L., Russell, D., An Assessment of the 2010 Incoterms® Impact of the International Chamber of Commerce Codification on American and European Shippers, Carriers and International Freight Forwarders (2014) NOFOMA Conference, , Copenhagen, Denmark, June 2014;\nGingerich, E.F., Schiffel, L., Drafting the International Commerce Agreement (2014) Journal of Applied Business and Economics, 16 (1), pp. 43-56;\nGlitz, F.E.Z., Transfer of Contractual Risk and INCOTERMS: Brief Analysis of its Application in Brazil (2011) J. Int'l Com. L. &amp;amp; Tech, 6, p. 108;\nGopal, C., Cypress, H., (1993) “Integrated Distribution Management: Competing on Customer Service, Time, and Cost.” Business One Irwin, , New York: McGraw-Hill;\nGustin, C.M., Daugherty, P.J., Stank, T.P., The Effects of Information Availability on Logistics Integration (1995) Journal of Business Logistics, 16 (1), pp. 1-21;\nHansen, W., Hovi, I.B., Veisten, K., Logistics Costs in Norway: Comparing Industry Survey Results Against Calculations Based on a Freight Transport Model (2014) International Journal of Logistics Research and Applications, 17 (6), pp. 485-502;\nIoan, P., Gabriela, B.M., Mihai, P.D., Global Logistics, Competitiveness and the New Incoterms. Annals Of The University Of Oradea (2013) Economic Science Series, 22 (1), pp. 159-166;\nIsai, V., Radu, R.I., (2005), Importance of Delivery Conditions the External Price Calculation; Johnson, W.P., Analysis of Incoterms as Usage Under Article 9 of the CISG (2013) U. Pa. J. Int'l L, 35, p. 379;\nJuarez, F., The Fine Print: The Difference Between RAFTD and INCOTERMS (1997) BUSINESS MEXICO, 7, p. 41;\nKerlinger, F.N., (1973) “Foundations of Behavioral Research”, , New York: Reinhart &amp;amp; Winston;\nKumar, S., Logistics Routing Flexibility and Lower Freight Costs Through use of Incoterms (2010) Transportation Journal, 49 (3), pp. 48-56;\nLorenzon, F., Baatz, Y., (2016) Sassoon on CIF and FOB Contracts, , London: Sweet &amp;amp; Maxwell;\nMacCorquodale, K., Meehl, P.E., On a Distinction of Hypothetical Constructs and Intervening Variables (1948) Psychological Review, 55, pp. 95-107;\nMalfliet, J., (2011), Incoterms 2010 and the Mode of Transport: How to Choose the Right Term. Management Challenges the Twenty-First Century: Transport and Logistics: Opportunity for Slovakia the Era of Knowledge Economy; Ndlovu, P., Incoterms 2010: A Consideration of Certain Implications of the Amendments to the Traditional Incoterms 2000 (2011) The Comparative and International Law Journal of Southern Africa, 44 (2), pp. 204-224;\nPaliu-Popa, L., Development of the International Trade in Terms of Incoterms 2010 Rules (2012) Annals of ‘Dunarea de Jos’ University of Galati: Fascicle 1: Economics and Applied Informatics, (1), pp. 99-106;\nRamberg, J., INCOTERMS 2010 (2011) Eur. JL Reform, 13, p. 380;\nRantasila, K., Ojala, L., National-Level Logistics Costs: An Overview of Extant Research (2015) International Journal of Logistics Research and Applications, 18 (4), pp. 313-324;\nRosal, I.D., Factors Influencing the Choice of Delivery Terms Used in Spanish Seaborne Container Trade (2016) International Journal of Shipping and Transport Logistics, 8 (3), pp. 318-333;\nSchaefer, T.J., (2017), Incoterms® Use Buyer-Seller Relationships: A Mixed Methods Study. 10602251 Ph.D., University of Missouri - Saint Louis; Spanogle, J.A., Incoterms and UCC Article 2—Conflicts and Confusions (1997) The International Lawyer, 31 (1), pp. 111-132;\nStapleton, D.M., Optimizing Shipper Contracting: the Correct Usage of Incoterms for Containerized/Intermodal Freight (2014) Annual Conference Proceedings of the Production Operations Management Society, , Wisconsin, May;\nStapleton, D.M., Pande, V., Ghosh, S., Damali, U., Refining Shippers’ Dyadic Cost, Risk, and Delivery Responsibilities: The Principle Changes to Incoterms and a Transaction Cost Focus for the Future (2014) Journal of Transportation Management, 24 (2), pp. 7-29;\nStapleton, D.M., Pande, V., O'Brien, D., EXW, FOB OR FCA? Choosing The Right Incoterm And Why It Matters To Maritime Shippers (2014) Journal of Transportation Law, Logistics &amp;amp; Policy, 81 (3), pp. 227-248;\nStapleton, D.M., Saulnier, V., Defining Dyadic Cost and Risk in International Trade: A Review of INCOTERMS 2000 with Strategic Implications (1999) Journal of Transportation Management, 11 (2), pp. 25-43;\nStapleton, D.M., Saulnier, V., (2001), A Study Shipper Contracting Relationships. ISBM Research Newsletter; (2015), http://www8.austlii.edu.au/cgi-bin/viewdoc/au/cases/cth/aat/2015/366.html, AATA 366 (28 May 2015; Sudderly, R., Construct Clarity in Theories of Management and Organization (2010) Academy of Management Review, 35 (3), pp. 346-357;\nSutton, R.L., Staw, B.M., What Theory is not (1995) Administrative Science Quarterly, 40, pp. 371-381;\nTan, Y.-H., Thoen, W., INCAS: A Legal Expert System for Contract Terms in Electronic Commerce (2000) Decision Support Systems, 29 (4), pp. 389-411;\n(1952), United States of America; Vogt, J., Davis, J., The State of Incoterm® Research (2020) Transportation Journal, 59 (3), pp. 304-324;\nYilmaz, M., Özken, A., Şahin, N., INCOTERMS 2000 VE 2010'UN MUKAYESELİ ANALİZİ VE TÜRKİYE UYGULAMALARINDAKİ EKSİKLİKLER (2011) Journal of Yasar University, 6 (23);\nZhai, J., New Technology and Marketing Innovation-Base on Leading Trade Terms Into Pricing System (2013) Contemporary Logistics, (13), pp. 9-13\n\nFrom Duplicate 9 (A study on the reasonable choice and utilization of incoterms 2020 rules from the perspective of logistics and supply chain management - Yang, J.-H.)\n\nCited By :3\n\nExport Date: 2 April 2023\n\nCorrespondence Address: Yang, J.-H.; Department of Logistics and International Trade, South Korea; email: y4381@jj.ac.kr\n\nReferences: Ronai, Bob, How Do the New Incoterms® 2020 Rules Impact the Supply Chain and Logistics Industry? (2019) CargoNOW Magazine, , https://cargonow.world/how-do-the-new-incoterms-2020-rules-impact-the-supply-chain-and-logistics-industry/; \nRonai, Bob, (2020) INCOTERMS® 2020 RULES: A Short Summary of Key Changes, Advantages and Disadvantages, Trade Finance Global, , https://www.tradefinanceglobal.com/freight-forwarding/incoterms/;\nCHOI, Kwon-Soo, PARK, Kwang-So, JIN, Hyung-Suk, Eun-Ji, OH, A Study on the Accounting Methods for Imported Goods in Transit in terms of Incoterms (2020) The International Commerce and Law Review, 85, pp. 1-25;\n(2020) Incoterms® (2020): The hidden champions of efficiency, , https://www.readkong.com/page/incoterms-2020-deloitte-8136872/, Deloitte;\nDenneman, P., (2020) Incoterms® 2020: Beware of What is Changing to Avoid Risk, , https://www.scmdojo.com/incoterms-2020/, SCMDOJO;\nGallant, P., (2014) How to Ship on the Right Terms, Canadian Business, , https://www.canadianbusiness.com/economy/why-donald-trumps-free-trade-opposition-is-canadas","page":"1263-1286","publisher":"Korea Trade Research Association","publisher-place":"Università degli Studi di Bologna, Italy","title":"The Comparative Study of Incoterms 2020 and 2010 in International Physical Distribution","type":"article-journal","volume":"25"},"uris":["http://www.mendeley.com/documents/?uuid=edbc877d-036c-4045-aee8-3019a7b1f220"]}],"mendeley":{"formattedCitation":"(Bergami and Tichá, 2022; Davis and Vogt, 2022; del Rosal, 2013; Edet et al., 2021; Fruscione, 2022; Jeon, 2021; Kim et al., 2022; Kim, 2022; Kohlhase and Wielhouwer, 2022; Stojanović et al., 2021; Wagner, 2022; Yang, 2021)","plainTextFormattedCitation":"(Bergami and Tichá, 2022; Davis and Vogt, 2022; del Rosal, 2013; Edet et al., 2021; Fruscione, 2022; Jeon, 2021; Kim et al., 2022; Kim, 2022; Kohlhase and Wielhouwer, 2022; Stojanović et al., 2021; Wagner, 2022; Yang, 2021)","previouslyFormattedCitation":"(Bergami and Tichá, 2022; Davis and Vogt, 2022; del Rosal, 2013; Edet et al., 2021; Fruscione, 2022; Jeon, 2021; Kim et al., 2022; Kim, 2022; Kohlhase and Wielhouwer, 2022; Stojanović et al., 2021; Wagner, 2022; Yang, 2021)"},"properties":{"noteIndex":0},"schema":"https://github.com/citation-style-language/schema/raw/master/csl-citation.json"}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(Bergami and Tichá, 2022; Davis and Vogt, 2022; del Rosal, 2013; Edet et al., 2021; Fruscione, 2022; Jeon, 2021; Kim et al., 2022; Kim, 2022; Kohlhase and Wielhouwer, 2022; Stojanović et al., 2021; Wagner, 2022; Yang, 2021)</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The problem is that all the previous research has looked at this from the exporters' and importers' points of view.</w:t>
      </w:r>
      <w:r w:rsidR="00FC6D9A" w:rsidRPr="000004DB">
        <w:rPr>
          <w:rFonts w:ascii="Times New Roman" w:hAnsi="Times New Roman" w:cs="Times New Roman"/>
          <w:sz w:val="24"/>
          <w:szCs w:val="24"/>
          <w:lang w:val="en"/>
        </w:rPr>
        <w:t xml:space="preserve"> </w:t>
      </w:r>
      <w:r w:rsidR="00BF4B55" w:rsidRPr="000004DB">
        <w:rPr>
          <w:rFonts w:ascii="Times New Roman" w:hAnsi="Times New Roman" w:cs="Times New Roman"/>
          <w:sz w:val="24"/>
          <w:szCs w:val="24"/>
          <w:lang w:val="en"/>
        </w:rPr>
        <w:t xml:space="preserve"> The viewpoint of freight forwarders, whose work is heavily reliant on </w:t>
      </w:r>
      <w:r w:rsidR="00FC6D9A" w:rsidRPr="000004DB">
        <w:rPr>
          <w:rFonts w:ascii="Times New Roman" w:hAnsi="Times New Roman" w:cs="Times New Roman"/>
          <w:sz w:val="24"/>
          <w:szCs w:val="24"/>
          <w:lang w:val="en"/>
        </w:rPr>
        <w:t>the selection of incoterms, is addressed</w:t>
      </w:r>
      <w:r w:rsidR="00BF4B55" w:rsidRPr="000004DB">
        <w:rPr>
          <w:rFonts w:ascii="Times New Roman" w:hAnsi="Times New Roman" w:cs="Times New Roman"/>
          <w:sz w:val="24"/>
          <w:szCs w:val="24"/>
          <w:lang w:val="en"/>
        </w:rPr>
        <w:t xml:space="preserve"> in a portion of the literature </w:t>
      </w:r>
      <w:r w:rsidR="00CE608E" w:rsidRPr="000004DB">
        <w:rPr>
          <w:rFonts w:ascii="Times New Roman" w:hAnsi="Times New Roman" w:cs="Times New Roman"/>
          <w:sz w:val="24"/>
          <w:szCs w:val="24"/>
          <w:lang w:val="en"/>
        </w:rPr>
        <w:fldChar w:fldCharType="begin" w:fldLock="1"/>
      </w:r>
      <w:r w:rsidR="0039184C" w:rsidRPr="000004DB">
        <w:rPr>
          <w:rFonts w:ascii="Times New Roman" w:hAnsi="Times New Roman" w:cs="Times New Roman"/>
          <w:sz w:val="24"/>
          <w:szCs w:val="24"/>
          <w:lang w:val="en"/>
        </w:rPr>
        <w:instrText>ADDIN CSL_CITATION {"citationItems":[{"id":"ITEM-1","itemData":{"DOI":"10.1057/mel.2013.25","ISSN":"14792931 (ISSN)","abstract":"This article examines the extent to which shippers can influence the level of carbon emissions from the deep-sea container supply chain. It uses data collected in an online questionnaire survey of 34 large UK shippers, supplemented by the results of focus group discussions and interviews with a range of key stakeholders, including shipping lines, freight forwarders, logistics companies and port operators. The online sample comprised shippers responsible for inbound and/or outbound deep-sea containers flows. The amount of leverage that they can exert on 'carbon-sensitive' decisions depends partly on the Incoterms that they employ and their use of freight forwarders. Many large shippers still retain significant influence over the choice of carriers used for deep-sea and port feeder services, consignment routing and scheduling and the choice of port. Shippers responsible for inbound flows reported high levels of container fill, though opportunities exist for improving the weight utilisation of outbound containers, possibly by moving to a port-centric logistics model. Around 40 per cent of the shippers consulted currently measure CO 2 emissions from their deep-sea container supply chains with only 6 per cent explicitly implementing carbon reduction initiatives. The research shows the importance of adopting a broader supply chain approach to decarbonisation in the maritime sector and emphasises the need for a multi-stakeholder perspective that recognises the important role of the shipper in the process. © 2014 Macmillan Publishers Ltd.","author":[{"dropping-particle":"","family":"McKinnon","given":"A","non-dropping-particle":"","parse-names":false,"suffix":""}],"container-title":"Maritime Economics and Logistics","id":"ITEM-1","issue":"1","issued":{"date-parts":[["2014"]]},"language":"English","note":"Cited By :22\n\nExport Date: 2 April 2023\n\nCorrespondence Address: McKinnon, A.; Kühne Logistics University-KLU, Brooktorkai 20, Hamburg 20457, Germany; email: alan.mckinnon@the-klu.org\n\nFunding details: Engineering and Physical Sciences Research Council, EPSRC\n\nFunding text 1: The research reported in this article was funded by the UK Engineering and Physical Sciences Research Council as part of its Low Carbon Shipping programme. The support of the Global Shippers’ Forum is also gratefully acknowledged.\n\nReferences: Asbjørnslett, B., Lindstad, H., Mørkve, T., Energy efficiency and environmental performance of maritime logistics chains: Estimating the current situation - Major challenges and possible pitfalls (2010) Proceedings of the 12th World Conference on Transport Research, , Lisbon; \n(2008) Greenhouse Gas Emissions from Shipping: Trends, Projections and Abatement Potential, , AEA Technology, London: Committee on Climate Change;\nBretzke, W.-R., Sustainable logistics: In search of solutions for a challenging new problem (2011) Logistics Research, 3, pp. 179-189;\n(2011) Shipping's Carbon Emissions: Design and Implementation of Market-based Measures. Part 1: Cap-And-Trade Emissions Trading System, , British Chamber of Shipping, London: British Chamber of Shipping;\nBrooks, M., Ocean carrier selection criteria in a new environment (1990) Logistics and Transportation Review, 26 (4), pp. 339-355;\n(2013) Clean Cargo, , http://www.bsr.org/en/our-work/working-groups/clean-cargo, accessed 1 November 2013;\nBuhaug, Ø., (2009) Prevention of Air Pollution from Ships: Second IMO GHG Study, , London: International Maritime Organisation;\nCariou, P., Is slow steaming a sustainable means of reducing CO2 emissions from container shipping (2011) Transportation Research Part D, 16 (3), pp. 260-264;\n(2011) Review of UK Shipping Emissions, , Committee on Climate Change, London: Committee on Climate Change;\nCorbett, J.J., Wang, H., Winebrake, J.J., The effectiveness and costs of speed reductions on emissions from international shipping (2009) Transportation Research Part D, 14 (8), pp. 593-598;\n(2012) 2012 Guidelines to DEFRA/DECC's GHG Conversion Factors for Company Reporting, , DEFRA/DECC, London: DEFRA/DECC;\n(2012) Port Freight Statistics 2011, , https://www.gov.uk/government/publications/port-freight-statistics-2011- final-figures, Department for Transport, accessed 1 November 2013;\n(2013) Logistics Carbon Review 2013, , Freight Transport Association, Tunbridge Wells: Freight Transport Association;\nGriffis, S.E., Goldsby, T.J., Cooper, M., Web-based and mail surveys: A comparison of response, data and cost (2003) Journal of Business Logistics, 24 (2), pp. 237-258;\nHein, N., Laporte, G., Roy, J., Business environment factors, incoterm selection and export performance (2009) Operations and Supply Chain Management, 2 (2), pp. 63-78;\n(2008) How Mature is the Green Supply Chain, 2008 Supply Chain Monitor, , Insight Amsterdam: Bearing Point Inc;\n(2010) ICC Guide to Incoterms 2010, , International Chamber of Commerce, Paris: ICC;\n(2011) Reducing Greenhouse Gases from Ships: Cost-effectiveness of Various Options, , International Council on Clean Transportation, Washington, DC: ICCT;\nKageson, P., (2009) Linking CO2 Emissions from International Shipping to the EU Emissions Trading Scheme, , Dessau-Rosslau, Germany: Federal Environment Agency;\nMaloni, M., Paul, J.A., Gligor, D.M., Slow steaming impacts on ocean carriers and shippers (2013) Maritime Economics and Logistics, 15 (2), pp. 151-171;\nMangan, J., Lalwani, C., Fynes, B., Port-centric logistics (2008) International Journal of Logistics Management, 19 (1), pp. 29-41;\nMcKinnon, A.C., Decarbonising the deep-sea container supply chain: The contribution of port-centric logistics (2013) Proceedings of the 13th World Conference on Transport Research, , Rio de Janiero;\nMcKinnon, A.C., Woolford, R., Possible effects of port-centric logistics on the carbon intensity of the maritime supply chain: A preliminary review (2011) LCS 2011: International Conference on Technologies, Operations, Logistics and Modelling for Low Carbon Shipping - Proceedings, , O. Turan and A. Incecik eds., Glasgow, UK: University of Strathclyde;\nNg, A.S.F., Container flows and empty container repositioning (2012) Maritime Transport: Contemporary Issues, , D. W. Song and P. Panagotis eds., London: Edward Elgar Publishing Group Ltd;\nRadliff, D., Barriers to improving global supply chain performance by using 'big data' (2013) Outlook on the Logistics and Supply Chain Industry 2013, , Geneva, Switzerland: World Economic Forum;\nRao, P., Holt, D., Do green supply chains lead to competitiveness and economic performance? (2005) International Journal of Operations and Production Management, 25 (9), pp. 898-916. , DOI 10.1108/01443570510613956;\nTiwari, P., Itoh, H., Doi, M., Shippers' port and carrier selection behaviour in china: A discrete choice analysis (2003) Maritime Economics and Logistics, 5 (1), pp. 23-39. , DOI 10.1057/palgrave.mel.9100062;\nTongzon, J.L., Port choice and freight forwarders (2009) Transportation Research, Part E, 45 (1), pp. 186-195;\n(2013) SmartWay Transport Overview, , http://www.epa.gov/smartway/documents/publications/overview-docs/ 420f13017.pdf, US Environmental Protection Agency, accessed 1 November 2013;\nWolf, C., Seuring, S., Environmental impacts as buying criteria for third party logistical services (2010) International Journal of Physical Distribution and Logistics Management, 40 (1-2), pp. 84-102;\nWoolford, R.E., McKinnon, A.C., Decarbonising the maritime supply chain: The role of the shipper (2011) Current Issues in Shipping, Ports and Logistics, pp. 11-24. , T. Notteboom ed., Brussels, Belgium: Associated Scientific Publishers;\n(2011) Corporate Value Chain (Scope 3) Accounting and Reporting Standard, , World Business Council for Sustainable Development/World Resources Institute, Geneva, Switzerland: WBCSD","page":"1-19","publisher-place":"Kühne Logistics University-KLU, Wissenschaftliche Hochschule für Logistik und Unternehmensfü hrung, Brooktorkai 20, Hamburg 20457, Germany","title":"The possible influence of the shipper on carbon emissions from deep-sea container supply chains: An empirical analysis","type":"article-journal","volume":"16"},"uris":["http://www.mendeley.com/documents/?uuid=132f88af-1f4e-44dd-9f2b-04dcba51ddfc"]},{"id":"ITEM-2","itemData":{"ISSN":"2830-1803","author":[{"dropping-particle":"","family":"Sugiono","given":"Ahmad","non-dropping-particle":"","parse-names":false,"suffix":""},{"dropping-particle":"","family":"Rahayu","given":"Agus","non-dropping-particle":"","parse-names":false,"suffix":""},{"dropping-particle":"","family":"Wibowo","given":"Lili Adi","non-dropping-particle":"","parse-names":false,"suffix":""}],"container-title":"Asian journal of logistics management","id":"ITEM-2","issue":"1","issued":{"date-parts":[["2022"]]},"page":"1-15","publisher":"Universitas Diponegoro","title":"Environmental uncertainty factor, incoterm and implication for a strategic alliance in freight forwarder companies case study in Indonesia","type":"article-journal","volume":"1"},"uris":["http://www.mendeley.com/documents/?uuid=a1869cfc-3b6a-4692-b6f9-c7f2f07df721"]}],"mendeley":{"formattedCitation":"(McKinnon, 2014; Sugiono et al., 2022)","plainTextFormattedCitation":"(McKinnon, 2014; Sugiono et al., 2022)","previouslyFormattedCitation":"(McKinnon, 2014; Sugiono et al., 2022)"},"properties":{"noteIndex":0},"schema":"https://github.com/citation-style-language/schema/raw/master/csl-citation.json"}</w:instrText>
      </w:r>
      <w:r w:rsidR="00CE608E" w:rsidRPr="000004DB">
        <w:rPr>
          <w:rFonts w:ascii="Times New Roman" w:hAnsi="Times New Roman" w:cs="Times New Roman"/>
          <w:sz w:val="24"/>
          <w:szCs w:val="24"/>
          <w:lang w:val="en"/>
        </w:rPr>
        <w:fldChar w:fldCharType="separate"/>
      </w:r>
      <w:r w:rsidR="00CE608E" w:rsidRPr="000004DB">
        <w:rPr>
          <w:rFonts w:ascii="Times New Roman" w:hAnsi="Times New Roman" w:cs="Times New Roman"/>
          <w:noProof/>
          <w:sz w:val="24"/>
          <w:szCs w:val="24"/>
          <w:lang w:val="en"/>
        </w:rPr>
        <w:t>(McKinnon, 2014; Sugiono et al., 2022)</w:t>
      </w:r>
      <w:r w:rsidR="00CE608E" w:rsidRPr="000004DB">
        <w:rPr>
          <w:rFonts w:ascii="Times New Roman" w:hAnsi="Times New Roman" w:cs="Times New Roman"/>
          <w:sz w:val="24"/>
          <w:szCs w:val="24"/>
          <w:lang w:val="en"/>
        </w:rPr>
        <w:fldChar w:fldCharType="end"/>
      </w:r>
      <w:r w:rsidR="00CE608E"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CE608E" w:rsidRPr="000004DB">
        <w:rPr>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The selection of suitable Incoterms represents more than a regulatory requirement; it constitutes a strategic capability essential for risk management, cost optimization, and sustaining competitiveness in international markets.</w:t>
      </w:r>
      <w:r w:rsidR="00FC6D9A" w:rsidRPr="000004DB">
        <w:rPr>
          <w:rStyle w:val="rynqvb"/>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 xml:space="preserve"> However, empirical evidence suggests that a substantial proportion of personnel lack a comprehensive grasp of these provisions, which frequently results in inappropriate decisions and elevated risks.</w:t>
      </w:r>
    </w:p>
    <w:p w14:paraId="1DA304E2" w14:textId="77777777" w:rsidR="005C762F" w:rsidRPr="000004DB" w:rsidRDefault="00BF4B55" w:rsidP="00AE1636">
      <w:pPr>
        <w:spacing w:after="0" w:line="276" w:lineRule="auto"/>
        <w:ind w:firstLine="567"/>
        <w:jc w:val="both"/>
        <w:rPr>
          <w:rStyle w:val="rynqvb"/>
          <w:rFonts w:ascii="Times New Roman" w:hAnsi="Times New Roman" w:cs="Times New Roman"/>
          <w:sz w:val="24"/>
          <w:szCs w:val="24"/>
        </w:rPr>
      </w:pPr>
      <w:r w:rsidRPr="000004DB">
        <w:rPr>
          <w:rFonts w:ascii="Times New Roman" w:hAnsi="Times New Roman" w:cs="Times New Roman"/>
          <w:sz w:val="24"/>
          <w:szCs w:val="24"/>
        </w:rPr>
        <w:t xml:space="preserve">The success or failure of a business in today's </w:t>
      </w:r>
      <w:r w:rsidR="00FC6D9A" w:rsidRPr="000004DB">
        <w:rPr>
          <w:rFonts w:ascii="Times New Roman" w:hAnsi="Times New Roman" w:cs="Times New Roman"/>
          <w:sz w:val="24"/>
          <w:szCs w:val="24"/>
        </w:rPr>
        <w:t>complex global economy is highly dependent on its competitive advantage</w:t>
      </w:r>
      <w:r w:rsidR="00EB5BE8"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475A1A" w:rsidRPr="000004DB">
        <w:rPr>
          <w:rFonts w:ascii="Times New Roman" w:hAnsi="Times New Roman" w:cs="Times New Roman"/>
          <w:sz w:val="24"/>
          <w:szCs w:val="24"/>
        </w:rPr>
        <w:t xml:space="preserve"> The influence of organizational culture is profound in promoting knowledge exchange and driving managerial innovation, which collectively serve as critical mechanisms for sustaining a firm</w:t>
      </w:r>
      <w:r w:rsidR="00FC6D9A" w:rsidRPr="000004DB">
        <w:rPr>
          <w:rFonts w:ascii="Times New Roman" w:hAnsi="Times New Roman" w:cs="Times New Roman"/>
          <w:sz w:val="24"/>
          <w:szCs w:val="24"/>
        </w:rPr>
        <w:t>'</w:t>
      </w:r>
      <w:r w:rsidR="00475A1A" w:rsidRPr="000004DB">
        <w:rPr>
          <w:rFonts w:ascii="Times New Roman" w:hAnsi="Times New Roman" w:cs="Times New Roman"/>
          <w:sz w:val="24"/>
          <w:szCs w:val="24"/>
        </w:rPr>
        <w:t>s competitive advantage</w:t>
      </w:r>
      <w:r w:rsidR="003F7616"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475A1A" w:rsidRPr="000004DB">
        <w:rPr>
          <w:rFonts w:ascii="Times New Roman" w:hAnsi="Times New Roman" w:cs="Times New Roman"/>
          <w:sz w:val="24"/>
          <w:szCs w:val="24"/>
        </w:rPr>
        <w:t xml:space="preserve"> </w:t>
      </w:r>
      <w:r w:rsidR="003F7616" w:rsidRPr="000004DB">
        <w:rPr>
          <w:rFonts w:ascii="Times New Roman" w:hAnsi="Times New Roman" w:cs="Times New Roman"/>
          <w:sz w:val="24"/>
          <w:szCs w:val="24"/>
        </w:rPr>
        <w:t xml:space="preserve">This, in turn, enhances firm performance </w:t>
      </w:r>
      <w:r w:rsidR="003F7616" w:rsidRPr="000004DB">
        <w:rPr>
          <w:rFonts w:ascii="Times New Roman" w:hAnsi="Times New Roman" w:cs="Times New Roman"/>
          <w:sz w:val="24"/>
          <w:szCs w:val="24"/>
        </w:rPr>
        <w:fldChar w:fldCharType="begin" w:fldLock="1"/>
      </w:r>
      <w:r w:rsidR="00CB4D68" w:rsidRPr="000004DB">
        <w:rPr>
          <w:rFonts w:ascii="Times New Roman" w:hAnsi="Times New Roman" w:cs="Times New Roman"/>
          <w:sz w:val="24"/>
          <w:szCs w:val="24"/>
        </w:rPr>
        <w:instrText>ADDIN CSL_CITATION {"citationItems":[{"id":"ITEM-1","itemData":{"DOI":"10.1007/s13132-024-01910-3","author":[{"dropping-particle":"","family":"Zhang","given":"J","non-dropping-particle":"","parse-names":false,"suffix":""},{"dropping-particle":"","family":"Jehangir","given":"F N","non-dropping-particle":"","parse-names":false,"suffix":""},{"dropping-particle":"","family":"Yang","given":"L","non-dropping-particle":"","parse-names":false,"suffix":""},{"dropping-particle":"","family":"Tahir","given":"M A","non-dropping-particle":"","parse-names":false,"suffix":""},{"dropping-particle":"","family":"Tabasum","given":"S","non-dropping-particle":"","parse-names":false,"suffix":""}],"container-title":"Journal of the Knowledge Economy","id":"ITEM-1","issued":{"date-parts":[["2024"]]},"note":"Export Date: 14 February 2025; Cited By: 4","title":"Competitive Advantage and Firm Performance: The Role of Organizational Culture, Organizational Innovation, and Knowledge Sharing","type":"article-journal"},"uris":["http://www.mendeley.com/documents/?uuid=ca4ee9bd-ea48-4e1a-96b5-b29383a0b18e"]}],"mendeley":{"formattedCitation":"(Zhang et al., 2024)","plainTextFormattedCitation":"(Zhang et al., 2024)","previouslyFormattedCitation":"(Zhang et al., 2024)"},"properties":{"noteIndex":0},"schema":"https://github.com/citation-style-language/schema/raw/master/csl-citation.json"}</w:instrText>
      </w:r>
      <w:r w:rsidR="003F7616" w:rsidRPr="000004DB">
        <w:rPr>
          <w:rFonts w:ascii="Times New Roman" w:hAnsi="Times New Roman" w:cs="Times New Roman"/>
          <w:sz w:val="24"/>
          <w:szCs w:val="24"/>
        </w:rPr>
        <w:fldChar w:fldCharType="separate"/>
      </w:r>
      <w:r w:rsidR="003F7616" w:rsidRPr="000004DB">
        <w:rPr>
          <w:rFonts w:ascii="Times New Roman" w:hAnsi="Times New Roman" w:cs="Times New Roman"/>
          <w:noProof/>
          <w:sz w:val="24"/>
          <w:szCs w:val="24"/>
        </w:rPr>
        <w:t>(Zhang et al., 2024)</w:t>
      </w:r>
      <w:r w:rsidR="003F7616" w:rsidRPr="000004DB">
        <w:rPr>
          <w:rFonts w:ascii="Times New Roman" w:hAnsi="Times New Roman" w:cs="Times New Roman"/>
          <w:sz w:val="24"/>
          <w:szCs w:val="24"/>
        </w:rPr>
        <w:fldChar w:fldCharType="end"/>
      </w:r>
      <w:r w:rsidR="00A279AD"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E67304"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The importance of competitive approaches, which include actions and resources used throughout the development process plan, is growing for managers seeking to improve company performance </w:t>
      </w:r>
      <w:r w:rsidR="002D7156" w:rsidRPr="000004DB">
        <w:rPr>
          <w:rStyle w:val="rynqvb"/>
          <w:rFonts w:ascii="Times New Roman" w:hAnsi="Times New Roman" w:cs="Times New Roman"/>
          <w:sz w:val="24"/>
          <w:szCs w:val="24"/>
          <w:lang w:val="en"/>
        </w:rPr>
        <w:fldChar w:fldCharType="begin" w:fldLock="1"/>
      </w:r>
      <w:r w:rsidR="00DE600B" w:rsidRPr="000004DB">
        <w:rPr>
          <w:rStyle w:val="rynqvb"/>
          <w:rFonts w:ascii="Times New Roman" w:hAnsi="Times New Roman" w:cs="Times New Roman"/>
          <w:sz w:val="24"/>
          <w:szCs w:val="24"/>
          <w:lang w:val="en"/>
        </w:rPr>
        <w:instrText>ADDIN CSL_CITATION {"citationItems":[{"id":"ITEM-1","itemData":{"author":[{"dropping-particle":"","family":"Porter","given":"Michael E","non-dropping-particle":"","parse-names":false,"suffix":""}],"id":"ITEM-1","issued":{"date-parts":[["1980"]]},"publisher":"New York: Free Press","title":"Competitive strategy: Techniques for analyzing industries and competitors","type":"article"},"uris":["http://www.mendeley.com/documents/?uuid=c0e8faea-2c9c-4e22-b87d-a8bf052e1061"]},{"id":"ITEM-2","itemData":{"author":[{"dropping-particle":"","family":"Porter","given":"Michael","non-dropping-particle":"","parse-names":false,"suffix":""}],"container-title":"PorterCompetitive Advantage1985","id":"ITEM-2","issued":{"date-parts":[["1985"]]},"title":"Competitive Advantage, New York Free Press","type":"article-journal"},"uris":["http://www.mendeley.com/documents/?uuid=84308c0c-8e7a-4fa6-9d98-99ef85e57ebe"]},{"id":"ITEM-3","itemData":{"ISSN":"0022-2429","author":[{"dropping-particle":"","family":"Day","given":"George S","non-dropping-particle":"","parse-names":false,"suffix":""},{"dropping-particle":"","family":"Wensley","given":"Robin","non-dropping-particle":"","parse-names":false,"suffix":""}],"container-title":"Journal of marketing","id":"ITEM-3","issue":"2","issued":{"date-parts":[["1988"]]},"page":"1-20","publisher":"SAGE Publications Sage CA: Los Angeles, CA","title":"Assessing advantage: a framework for diagnosing competitive superiority","type":"article-journal","volume":"52"},"uris":["http://www.mendeley.com/documents/?uuid=df8354b3-9c57-45d6-be2c-0e28f99c0018"]},{"id":"ITEM-4","itemData":{"author":[{"dropping-particle":"","family":"Porter","given":"Michael E","non-dropping-particle":"","parse-names":false,"suffix":""}],"container-title":"New York","id":"ITEM-4","issued":{"date-parts":[["1990"]]},"title":"The competitive advantage of nations The Free Press","type":"article-journal","volume":"564"},"uris":["http://www.mendeley.com/documents/?uuid=e100bf87-d278-4564-b763-6cd9390487f3"]},{"id":"ITEM-5","itemData":{"ISSN":"0022-2429","author":[{"dropping-particle":"","family":"Bharadwaj","given":"Sundar G","non-dropping-particle":"","parse-names":false,"suffix":""},{"dropping-particle":"","family":"Varadarajan","given":"P Rajan","non-dropping-particle":"","parse-names":false,"suffix":""},{"dropping-particle":"","family":"Fahy","given":"John","non-dropping-particle":"","parse-names":false,"suffix":""}],"container-title":"Journal of marketing","id":"ITEM-5","issue":"4","issued":{"date-parts":[["1993"]]},"page":"83-99","publisher":"SAGE Publications Sage CA: Los Angeles, CA","title":"Sustainable competitive advantage in service industries: a conceptual model and research propositions","type":"article-journal","volume":"57"},"uris":["http://www.mendeley.com/documents/?uuid=d1031efd-29aa-47a6-bab0-9fdf055e9b26"]},{"id":"ITEM-6","itemData":{"DOI":"10.1016/j.technovation.2018.11.004","ISSN":"01664972 (ISSN)","abstract":"Some scholars hold that dynamic capability (hereinafter DC) is one of the keys to achieving competitive advantage (hereinafter CA) and consequently, performance in strategic management. However, the definition and effects of DCs and the role of environmental dynamism are still under discussion. In the context of a Portuguese-like economy and from a strategic process perspective, this study defines dynamic capability as the potential to systematically solve problems, enabled by its propensity to sense opportunities and threats, to make timely decisions, and to implement strategic decisions and changes efficiently, thereby ensuring the right direction. Moreover, the ambidexterity view, exploring the indirect impact of exploitative and explorative capabilities, mediated by creativity and innovation competences (hereinafter IC) gives evidence of the influence on CA and firm's performance. Using an empirical study of 387 enterprises in Portugal, it was found that DCs, creativity and IC do significantly, positively, affect performance, while entrepreneurial orientation (hereinafter EO) is a moderator. © 2020 Elsevier B.V.","author":[{"dropping-particle":"","family":"Ferreira","given":"J","non-dropping-particle":"","parse-names":false,"suffix":""},{"dropping-particle":"","family":"Coelho","given":"A","non-dropping-particle":"","parse-names":false,"suffix":""},{"dropping-particle":"","family":"Moutinho","given":"L","non-dropping-particle":"","parse-names":false,"suffix":""}],"container-title":"Technovation","id":"ITEM-6","issued":{"date-parts":[["2020"]]},"language":"English","note":"Cited By :172\n\nExport Date: 1 April 2023\n\nCODEN: TNVTD\n\nCorrespondence Address: Ferreira, J.; Department of Management and Marketing, Portugal; email: jorge.ferreira065@gmail.com\n\nReferences: Acs, Z.W., Parsons, S.T., (2008), racy High-Impact Firms: Gazelles Revisited. Report published by Corporate Research Board, LLC Washington, DC 20037, accessed from Office of Advocacy, the United States Small Business Administration; Adler, P.S., Kwon, S., Social capital: prospects for a new concept (2002) Acad. Manag. Rev., 27, pp. 17-40; \nAhlin, B., Drnovsˇek, M., Hisrich, R.D., Entrepreneurs' creativity and firm innovation: the moderating role of entrepreneurial self-efficacy (2013) Small Bus. Econ., pp. 177-187;\nAhuja, G., Collaborative networks, structural holes, and innovation: a longitudinal study (2000) Adm. Sci. Q., 45. , (425– 455013-9531-7);\nAkman, G., Yilmaz, C., Innovative capability, innovation strategy, and market orientation: an empirical analysis in Turkish software industry (2008) Int. J. Innov. Manag., 12, pp. 69-111;\nAldrich, H.E., Wiedenmayer, G., From traits to rates: an ecological perspective on organizational foundings (1993) Advances in Entrepreneurship Firm Emergence, And Growth, pp. 145-195. , J.A. Katz R.H. Brockhaus JAI Press Greenwich, CT;\nAlegre, J., Chiva, R., Linking entrepreneurial orientation and firm performance: the role of organizational learning capability and innovation performance (2013) J. Small Bus. Manag., 51, pp. 491-507;\nAlise, T., Oddane, W., The collective creativity of academics and practitioners in innovation projects (2015) Int. J. Manag. Proj. Bus., 8, pp. 33-57;\nAljanabi, A., Qadir, A., Nor, R., Noor, A.M., The mediating role of market orientation on entrepreneurial orientation, absorptive capacity and technological innovation capabilities (2015) Asian Soc. Sci., 11, pp. 219-234;\nAmabile, T., Khaire, M., Creativity and the role of the leader (2008) Harv. Bus. Rev., 86, pp. 100-109;\nAmabile, T.M., Social psychology of creativity: a componential conceptualization (1983) J. Personal. Soc. Psychol., 45, pp. 997-1013;\nAmabile, T.M., Creativity in Context (1996), Westview Press Boulder, CO; Ambrosini, V., Bowman, C., What are dynamic capabilities and are they a useful construct in strategic management (2009) Int. J. Manag. Rev., 11, pp. 29-49;\nAmbrosini, V., Bowman, C., Collier, N., Dynamic capabilities: an exploration of how firms renew their resource base (2009) Br. J. Manag., 20, pp. S9-S24;\nAnand, J., Oriani, R., Vassolo, R.S., Alliance activity as a dynamic capability in the face of a discontinuous technological change (2010) Org. Sci., 21, pp. 1213-1232;\nAncona, D.G., Goodman, P.S., Lawrence, B.S., Tushman, M.L., Time: a new research lens (2001) Acad. Manag. Rev., 26, pp. 645-663;\nAndriopoulos, C., Lewis, M.W., Exploitation-exploration tensions and organizational ambidexterity: managing paradoxes of innovation (2009) Org. Sci., 20 (4), pp. 696-717;\nApanasovich, N., Heras, H.A., Parrilli, M.D., The impact of business innovation modes on SME innovation performance in post-Soviet transition economies: the case of Belarus (2016) Technovation, pp. 57-58;\nArend, R.J., Bromiley, P., Assessing the dynamic capabilities view: spare change, everyone? (2009) Strateg. Org., 7, pp. 75-90;\nAtuahene-Gima, K., Resolving the capability-rigidity paradox in new product innovation (2005) J. Market., 69 (4), pp. 61-83;\nAtuahene-Gima, K., Murray, J.Y., Exploratory and exploitative learning in new product development: a social capital perspective on new technology ventures in China (2007) J. Int. Mark., 15, pp. 1-29;\nAudia, P.G., Goncalo, J.A., Past success and creativity over time: a study of inventors in the hard-disk drive industry (2007) Manag. Sci., 53, pp. 1-15;\nAuh, S., Menguc, B., Balancing exploration and exploitation: the moderating role of competitive intensity (2005) J. Bus. Res., 58, pp. 1652-1661;\nAutant-Bernard, C., Fadairo, M., Massard, N., Knowledge diffusion and innovation policies within the European regions: challenges based on recent empirical evidence (2013) Res. Policy, 42, pp. 196-210;\nAvlonitis, G.J., Salavou, H.E., Entrepreneurial orientation of SMEs, product innovativeness, and performance (2007) J. Bus. Res., 60, pp. 566-575;\nAxtell, C.M., Holman, D.J., Ushworth, K.L., Wall, T.D., Waterson, P.E., Harrington, E., Shopfloor innovation: facilitating the suggestion and implementation of ideas (2000) J. Occup. Org. Psychol., 39, pp. 599-617;\nBaer, M., Putting creativity to work: the implementation of creative ideas in organizations (2012) Acad. Manag. J., 55, pp. 1102-1119;\nBai, J., Ren, J., Organizational Ambidexterity and innovation performance: the moderating effect of entrepreneurial orientation (2016) Front. Bus. Res. China, 10, pp. 664-693;\nBaker, W.E., Sinkula, J.M., The complementary effects of market orientation and entrepreneurial orientation on profitability in small businesses (2009) J. Small Bus. Manag., 47, pp. 443-464;\nBarreto, I., Dynamic capabilities: a review of past research and an agenda for the future (2010) J. Manag., 36 (1), pp. 256-280;\nBarczak, G., Griffin, A., Kahn, K.B., Trends and drivers of success in NPD practices: results of the 2003 PDMA best practices study (2009) J. Product. Innov. Manag., 26, pp. 3-23;\nBatey, M., Chamorro-Premuzic, T., Furnham, A., Intelligence and personality as predictors of divergent thinking: the role of general, fluid and crystallised intelligence (2009) Think. Skills Creat., 4, pp. 60-69;\nBaum, J.R., Locke, E.A., The relationship of entrepreneurial traits, skill, and motivation to subsequent venture growth (2004) J. Appl. Psychol., 89, pp. 587-598;\nBaum, J.R., Locke, E.A., Smith, K., A multidimensional model of venture growth (2001) Acad. Manag. J., 44, pp. 292-303;\nBeckman, C.M., The influence of founding team company affiliations on firm behavior (2006) Acad. Black.;\nBeckman, C.M., Haunschild, P.R., Phillips, D.J., Friends or strangers? Firm-specific uncertainty, market uncertainty, and network partner selection (2004) Org. Sci., 15 (3), pp. 259-275;\nBello, D.C., Lori, P., Radulovich, B., Rajshekhar (Raj), G., Javalgi, R.F., Scherer, J.T., Performance of professional service firms from emerging markets: role of innovative services and firm capabilities (2016) J. World Bus., 51, pp. 413-424;\nBenner, M.J., Tushman, M.L., Process management and technological innovation: a longitudinal study of the photography and paint industries (2002) Adm. Sci. Q., 47, pp. 676-706;\nBenner, M.J., Tushman, M.L., Exploitation, exploration, and process management: the productivity Dilemma revisited (2003) Acad. Manag. Rev., 28, pp. 238-256;\nBirch, Who creates jobs? (1981) Public Interest, 65 (fall), pp. 3-14;\nBlomberg, A., Tomi Kallio, T., Pohjanpää, H., Antecedents of organizational creativity: drivers, barriers or both? (2017) J. Innov. Manag. Blomb., 5, pp. 78-104. , (Kallio, Pohjanpää JIM);\nBoso, N., Cadogan, J.W., Story, V.M., Complementary effect of entrepreneurial and market orientations on export new product success under differing levels of competitive intensity and financial capital (2012) Int. Bus. Rev., 21, pp. 667-681;\nBoso, N., Cadogan, J.W., Story, V.M., Entrepreneurial orientation and market orientation as drivers of product innovation success: a study of exporters from a developing economy (2012) Int. Small Bus. J., 31 (1), pp. 57-81;\nBoso, N., Cadogan, J.W., Story, V.M., Entrepreneurial orientation and market orientation as drivers of product innovation success: a study of exporters from a developing economy (2013) Int. Small Bus. J., 31, pp. 57-81;\nBoso, N., Story, V.M., Cadogan, J.W., Entrepreneurial orientation, market orientation, network ties, and performance: study of entrepreneurial firms in a developing economy (2013) J. Bus. Ventur., 28, pp. 708-727;\nBougrain, F., Haudeville, B., Innovation, collaboration and SMEs internal research capacities (2002) Res. Policy, 31 (5), pp. 735-747;\nBrass, D.J., Galaskiewicz, J., Greve, H.R., Tsai, W., Taking stock of networks and organizations: a multilevel perspective (2004) Acad. Manag. J., 47, pp. 795-819;\nBrockman, B.K., Morgan, R.M., The role of existing knowledge in new product innovativeness and performance (2003) Decis. Sci., 34, pp. 385-420;\nBurt, R.S., Structural Holes: the Social Structure of Competition (1992), Harvard University Cambridge, MA; Calantone, R., Rubera, G., When should RD&amp;amp;E and marketing collaborate? The moderating role of exploration–exploitation and environmental uncertainty (2012) J. Prod. Innov. Manag., 29, pp. 144-157;\nCalantone, R.J., Cavusgil, S.T., Zhao, Y., Learning orientation, firm innovation capability, and firm performance (2002) Ind. Mark. Manag., 31, pp. 515-524;\nCao, Q., Gedajlovic, E., Zhang, H., Unpacking organizational ambidexterity: dimensions, contingencies, and synergistic effects (2009) Org. Sci., 20, pp. 781-796;\nCassiman, B., Veugelers, R., In search of complementarity in innovation strategy: internal R&amp;amp;D, cooperation in R&amp;amp;D and external technology acquisition” (2006) Manag. Sci., 52, pp. 68-82;\nChae, J.S., Lee, J.H., Kim, C.J., The effect of transformational leadership on employee creativity (2011) Korean J. Bus. Adm., pp. 2617-2640;\nChakravarthy, B., Lorange, P., Driving renewal: the entrepreneur-manager (2008) J. Bus. Strategy, 29, pp. 14-21;\nChang, C.-H., Chen, Y.-S., The determinants of green product development performance: green dynamic capabilities, green transformational leadership, and green creativity (2013) J. Bus. Ethics, 116 (1), pp. 07-119;\nChang, Y., Hughes, M., Drivers of innovation ambidexterity in small- to medium-sized firms (2012) Eur. Manag. J., 30, pp. 1-17;\nChen, D.Q., Preston, D.S., Xia, W., Antecedents and impacts of CIO supply-side and demand-side leadership: a staged maturity model (2010) J. Manag. Inf. Syst., 27, pp. 231-271;\nChen, H.-H., Lee, P.-Y., The driving drivers of dynamic competitive capabilities: a new perspective on competition (2009) Eur. Bus. Rev., 21, pp. 78-91;\nCheng, C., Lai, M., Wu, W., Exploring the impact of innovation strategy on R&amp;amp;D employees’ job satisfaction: a mathematical model and empirical research (2010) Technovation, 30, pp. 459-470;\nChesbrough, H., Open Innovation: the New Imperative for Creating and Profiting from Technology (2003), Harvard Business School Press Boston, Mass; Chiang, Y.H., Hung, K.P., Exploring open search strategies and perceived innovation performance from the perspective of inter-organizational knowledge flows (2010) R&amp;amp;D Manag., 40, pp. 292-299;\nChing-Hsun, C., Yu-Shan, C., Green organizational identity and green innovation (2013) Manag. Decis., 51, pp. 1056-1070;\nCho, H., Pucik, V., Relationship between innovativeness quality, growth, profitability, and market value (2005) Strateg. Manag. J., 26, pp. 555-575;\nClarysse, B., Moray, N., A process study of entrepreneurial team formation: the case of a research-based spin-off (2004) J. Bus. Ventur., 19, pp. 55-79;\nCoad, A., The Growth of Firms: A Survey of Theories and Empirical Evidence (2009), Edward Elgar Cheltenham; Colarelli, O.’.C.G., Ravichandran, T., Robeson, D., Risk management through learning: Management practices for radical innovation success (2008) J. High. Technol. Manag. Res., 19, pp. 70-82;\nColarelli, O.C.G., Paulson, A.S., DeMartino, R., Organisational approaches to building a radical innovation dynamic capability (2008) Int. J. Technol. Manag., 44, pp. 179-204;\nColbert, B.A., The complex resource-based view: implications for theory and practice in strategic human resource management (2004) Acad. Manag. Rev., 29, pp. 341-358;\nCollis, D.J., How valuable are organizational capabilities? (1994) Strateg. Manag. J., 15, pp. 143-152;\nDadfar, H., Dahlgaard, J.J., Breg, S., Alamirhoor, A., Linkage between organisational innovation capability, product platform development and performance: the case of pharmaceutical small and medium enterprises in Iran (2013) Total Qual. Manag. Bus. Excell., 24, pp. 819-834;\nDaghfous, A., Absorptive capacity and the implementation of knowledge-intensive best practices (2004) S.A.M. Adv. Manag. J., 69, pp. 21-27;\nDahlander, L., Gann, D.M., How open is innovation? (2010) Res. Policy, 39, pp. 699-709;\nDamanpour, F., Aravind, D., Managerial innovation: conceptions, processes and antecedents (2012) Manag. Organ. Rev., 8, pp. 423-454;\nDay, G.S., The capabilities of market-driven organizations (1994) J. Mark., pp. 37-52;\nDe Sousa, F.C., Pellissier, R., Monteiro, I.P., Creativity, innovation and collaborative organizations (2012) Int. J. Organ. Innov., 5, p. 1e39;\nDi Stefano, G., Peteraf, M., Verona, G., Dynamic capabilities deconstructed: a bibliographic investigation into the origins, development, and future directions of the research domain (2010) Ind. Corp. Change, 19, pp. 1187-1204;\nDi Stefano, G., Peteraf, M., Verona, G., The organizational drivetrain: a Road to integration of dynamic capabilities research (2014) Acad. Manag. Perspect., 28, pp. 307-327;\nDiLileo, T.C., Houghton, J.D., Maximizing organisational leadership capacity for the future: toward a model of self leadership, innovation and creativity (2006) J. Manag. Psychol., 21, pp. 319-337;\nDotzel, T., Shankar, V., Berry, L., Service innovativeness and firm value (2013) J. Mark. Res., 50, pp. 259-276;\nDrechsler, W., Natter, M., Understanding a firm's openness decisions in innovation (2012) J. Bus. Res., 65, pp. 438-445;\nEasterby-Smith, M., Prieto, I.M., Dynamic capabilities and knowledge management: an integrative role for learning? (2008) Br. J. Manag., 19, pp. 235-249;\nEasterby-Smith, M., Lyles, M.A., Peteraf, M.A., Dynamic capabilities: current debates and future directions (2009) Br. J. Manag., 20, pp. S1-S8;\nEdvardsson, B., Haglund, L., Mattsson, J., Analysis, planning, improvisation and control in the development of new services (1995) Int. J. Serv. Ind. Manag., 6, pp. 24-35;\nEisenhardt, K.M., Martin, J.A., Dynamic capabilities: what are they? (2000) Strateg. Manag. J., 21, pp. 1105-1121;\nEjdys, J., Entrepreneurial orientation vs. innovativeness of small and medium size enterprises of Podlaskie Voivodship (2016) J. Eng. Proj. Prod. Manag., 6, pp. 13-24;\nEriksson, T., Processes, antecedents and outcomes of dynamic capabilities (2014) Scand. J. Manag., 30, pp. 65-82;\nFadaee, A., Obaid, H., Alzahrh, A., Explaining the relationship between creativity, innovation and entrepreneurship (2014) Int. J. Econ., Manag. Social. Sci., 3, pp. 1-4;\nFillis, I., Rentschler, R., The role of creativity in entrepreneurship (2010) J. Enterprising Cult., 18, pp. 49-81;\nFourne, S., Jansen, J.J.P., Rosenbusch, N., (2016), A meta-analysis of the relationship between exploration and exploitation. Academy of Management Conference, Anaheim; Franklin, S., Wright, M., Lockett, A., Academic and surrogate entrepreneurs in university spin-out companies (2001) J. Technol. Transf., 26, pp. 127-141;\nGao, Y., Gao, S.X., Yang, J.J., Knowledge sharing, radical innovation and firm performance—moderating effects of firms’ internal and external factors under cooperative background (2010) R.D. Manag., 22, pp. 56-63;\nGarcia, R., Calantone, R., Levine, R., The role of knowledge in resource allocation to exploration versus exploitation in technologically oriented organizations (2003) Decis. Sci., 34, pp. 323-349;\nGarriga, H., von Krogh, G., Spaeth, S., How constraints and knowledge impact open innovation (2013) Strateg. Manag. J., 34, pp. 1134-1144;\nGaspersz, J.B.R., (2005), Compete with creativity, “Essay presented at the innovation lecture” Compete with creativity, of the Dutch Ministry of Economic Affairs, The Hague; Ghemawat, P., Costa, J., The organizational tension between static and dynamic efficiency (1993) Strateg. Manag. J., 14, pp. 59-73;\nGiampaoli, D., Ciambotti, M., Knowledge versus creativity: which of them really matter challenges of the knowledge society (2016) Bucharest, pp. 690-698;\nGiannopoulou, E., Gryszkiewicz, L., Barlatier, P.-J., Creativity for service innovation: a practice-based perspective (2014) Manag. Serv. Qual., 24, pp. 23-44;\nGibson, C.B., Birkinshaw, J., The antecedents, consequences, and mediating role of organizational ambidexterity (2004) Acad. Manag. J., 47 (2), pp. 209-226;\nGlenn, R.R., Genchev, S.E., Daugherty, P.J., The role of resource commitment and innovation in reverse logistics performance (2005) Int. J. Phys. Distrib. Logist. Manag., 35, pp. 233-257;\nGoedhuys, M., Veugelers, R., Innovationstrategies,processandproduct innovations and growth: firm-level evidence from Brazil (2012) Struct. Chang. Dyn., 23, pp. 516-529;\nGoel, S., Jones III, R.J., Entrepreneurial exploration and exploitation in family business: a systematic review and future directions (2016) Fam. Bus. Rev., 29 (1), pp. 94-120;\nGong, Y., Haung, J., Farh, J., Employee learning orientation, transformational leadership and employee creativity: the mediating role of employee creative self-efficacy (2009) Acad. Manage. J., 52 (4), pp. 765-778;\nGreve, H.R., Exploration and exploitation in product innovation (2007) Ind. Corp. Change, 16 (5), pp. 945-975;\nGuan, J., Ma, N., Innovative capability and export performance of Chinese firms (2003) Technovation – Int. J. Technol. Innov. Entrep., 23, pp. 737-747;\nGupta, R., Banerjee, P., Antecedents of organizational creativity; a multi-level approach (2016) Bus.: Theory Pract., 17, pp. 167-177;\nGupta, S., Cadeaux, J., Dubelaar, C., Uncovering multiple champion roles in implementing new-technology ventures (2006) J. Bus. Res., 59, pp. 549-563;\nGupta, A.K., Smith, K.G., Shalley, C.E., The interplay between exploration and exploitation (2006) Acad. Manag. J., 49, pp. 693-706;\nHahn, M.H., Lee, K.C., Lee, D.S., Network structure, organizational learning culture, and employee creativity in system integration companies: the mediating effects of exploitation and exploration (2015) Comput. Hum. Behav., 42, pp. 167-175;\nHair, J.F., Anderson, R.E., Tatham, R.L., Black, W.C., (2006) Multivariate Data Analysis, , 6th ed. Pearson Prentice Hall New Jersey;\nHan, K., Jin, K., Namwoon, Srivasta, R.K., Market orientation and organizational performance: is innovation a missing link? (1998) J. Mark., 62, pp. 30-45;\nHayter, C.S., Public or private entrepreneurship? Revisiting motivations and definitions of success among academic entrepreneurs (2015) J. Technol. Transf., 40, pp. 1003-1015;\nHe, Z., Wong, P., Exploration vs. exploitation: an empirical test of the ambidexterity hypothesis (2004) Org. Sci., 15, pp. 481-494;\nHelfat, C., Finkelstein, S., Mitchell, W., Peteraf, M., Singh, H., Teece, D., Winter, S., Dynamic Capabilities: Understanding Strategic Change in Organisations (2007), Blackwell Publishing Malden; Helfat, C.E., Martin, J.A., Dynamic managerial capabilities: review and assessment of managerial impact on strategic change (2015) J. Manag., 41, pp. 1281-1312;\nHelfat, C.E., Peteraf, M.A., The dynamic resource-based view: capability lifecycles (2003) Strateg. Manag. J., 24, pp. 997-1010;\nHelfat, C.E., Peteraf, M.A., Understanding dynamic capabilities: progress along a developmental path (2009) Strat. Org., 7 (1), pp. 91-102;\nHelfat, C.E., Quinn, J.B., Open innovation: the new imperative for creating and profiting from technology by Henry Chesbrough, review by: constance E. Helfat &amp;amp; J. Brian Quinn (2006) Acad. Manag. Perspect., 20, pp. 86-88;\nHelfat, C.E., Winter, S.G., Untangling dynamic and operational capabilities: strategy for the (n)everchanging world (2011) Strateg. Manag. J., 32, pp. 1243-1250;\nHenderson, R.M., Clark, K.B., Architectural innovation: the reconfiguration of existing product technologies and the failure of established firms (1990) Admin. Sci. Quart., 35. , (9–3.);\nHernández-Espallardo, M., Sánchez-Pérez, M., Segovia-López, C., Exploitationand exploration-based innovations: the role of knowledge in inter-firm relationships with distributors (2011) Technovation, 31, pp. 203-215;\nHirst, G., van Dick, R., van Knippenberg, D., A social identity perspective on leadership and employee creativity (2009) J. Org. Behav., 30, pp. 963-982;\nHirst, G., Knippenberg, D.V., Zhou, Q., Zhu, C.J., Cheng-Fei, P., Tsai, P.C.-F., Exploitation and exploration climates' Influence on performance and creativity: diminishing returns as function of self-efficacy (2015) J. Manag., 20, pp. 1-22;\nHmieleski, K.M., Baron, R.A., When does entrepreneurial self-efficacy enhance versus reduce firm performance? (2008) Strateg. Entrep. J., 2, pp. 57-72;\nHmieleski, K.M., Corbett, A.C., The contrasting interaction effects of improvisational behavior with entrepreneurial self-efficacy on new venture performance and entrepreneur work satisfaction (2008) J. Bus. Ventur., 23, pp. 482-496;\nHo, Y.-C., Tsai, T.-H., The impact of dynamic capabilties with market orientation and resource-based approaches on NPD project performance (2006) J. Am. Acad. Bus., 8 (1), pp. 215-229;\nHoang, H., Rothaermel, F., Leveraging internal and external experience: exploration, exploitation, &amp;amp; R&amp;amp;D project performance (2010) Strateg. Manag. J., 31, pp. 734-758;\nHollenstein, H., A composite indicator of a firm's innovativeness – an empirical analysis based on survey data for swiss manufacturing (1996) Res. Policy, 25, pp. 633-645;\nHollenstein, H., Innovation modes in the swiss service sector: a cluster analysis based on firm-level data (2003) R","publisher":"Elsevier Ltd","publisher-place":"Faculty of Economics University of Coimbra, Portugal","title":"Dynamic capabilities, creativity and innovation capability and their impact on competitive advantage and firm performance: The moderating role of entrepreneurial orientation","type":"article-journal","volume":"92-93"},"uris":["http://www.mendeley.com/documents/?uuid=d8d55004-4c6a-4fa6-9061-d7ca7991b11d"]}],"mendeley":{"formattedCitation":"(Bharadwaj et al., 1993; Day and Wensley, 1988; Ferreira et al., 2020; Porter, 1985, 1990, 1980)","plainTextFormattedCitation":"(Bharadwaj et al., 1993; Day and Wensley, 1988; Ferreira et al., 2020; Porter, 1985, 1990, 1980)","previouslyFormattedCitation":"(Bharadwaj et al., 1993; Day and Wensley, 1988; Ferreira et al., 2020; Porter, 1985, 1990, 1980)"},"properties":{"noteIndex":0},"schema":"https://github.com/citation-style-language/schema/raw/master/csl-citation.json"}</w:instrText>
      </w:r>
      <w:r w:rsidR="002D7156" w:rsidRPr="000004DB">
        <w:rPr>
          <w:rStyle w:val="rynqvb"/>
          <w:rFonts w:ascii="Times New Roman" w:hAnsi="Times New Roman" w:cs="Times New Roman"/>
          <w:sz w:val="24"/>
          <w:szCs w:val="24"/>
          <w:lang w:val="en"/>
        </w:rPr>
        <w:fldChar w:fldCharType="separate"/>
      </w:r>
      <w:r w:rsidR="002D7156" w:rsidRPr="000004DB">
        <w:rPr>
          <w:rStyle w:val="rynqvb"/>
          <w:rFonts w:ascii="Times New Roman" w:hAnsi="Times New Roman" w:cs="Times New Roman"/>
          <w:noProof/>
          <w:sz w:val="24"/>
          <w:szCs w:val="24"/>
          <w:lang w:val="en"/>
        </w:rPr>
        <w:t>(Bharadwaj et al., 1993; Day and Wensley, 1988; Ferreira et al., 2020; Porter, 1985, 1990, 1980)</w:t>
      </w:r>
      <w:r w:rsidR="002D7156" w:rsidRPr="000004DB">
        <w:rPr>
          <w:rStyle w:val="rynqvb"/>
          <w:rFonts w:ascii="Times New Roman" w:hAnsi="Times New Roman" w:cs="Times New Roman"/>
          <w:sz w:val="24"/>
          <w:szCs w:val="24"/>
          <w:lang w:val="en"/>
        </w:rPr>
        <w:fldChar w:fldCharType="end"/>
      </w:r>
      <w:r w:rsidR="002D7156"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EC61F6" w:rsidRPr="000004DB">
        <w:rPr>
          <w:rFonts w:ascii="Times New Roman" w:hAnsi="Times New Roman" w:cs="Times New Roman"/>
          <w:sz w:val="24"/>
          <w:szCs w:val="24"/>
        </w:rPr>
        <w:t xml:space="preserve"> </w:t>
      </w:r>
      <w:r w:rsidR="00475A1A" w:rsidRPr="000004DB">
        <w:rPr>
          <w:rStyle w:val="rynqvb"/>
          <w:rFonts w:ascii="Times New Roman" w:hAnsi="Times New Roman" w:cs="Times New Roman"/>
          <w:sz w:val="24"/>
          <w:szCs w:val="24"/>
          <w:lang w:val="en"/>
        </w:rPr>
        <w:t>Identifying and implementing the most appropriate supply chain strategy in the industry can significantly improve corporate performance and serve as a foundation for sustaining competitive advantage</w:t>
      </w:r>
      <w:r w:rsidRPr="000004DB">
        <w:rPr>
          <w:rStyle w:val="rynqvb"/>
          <w:rFonts w:ascii="Times New Roman" w:hAnsi="Times New Roman" w:cs="Times New Roman"/>
          <w:sz w:val="24"/>
          <w:szCs w:val="24"/>
          <w:lang w:val="en"/>
        </w:rPr>
        <w:t xml:space="preserve"> </w:t>
      </w:r>
      <w:r w:rsidR="00EC61F6" w:rsidRPr="000004DB">
        <w:rPr>
          <w:rStyle w:val="rynqvb"/>
          <w:rFonts w:ascii="Times New Roman" w:hAnsi="Times New Roman" w:cs="Times New Roman"/>
          <w:sz w:val="24"/>
          <w:szCs w:val="24"/>
          <w:lang w:val="en"/>
        </w:rPr>
        <w:fldChar w:fldCharType="begin" w:fldLock="1"/>
      </w:r>
      <w:r w:rsidR="00A400A7" w:rsidRPr="000004DB">
        <w:rPr>
          <w:rStyle w:val="rynqvb"/>
          <w:rFonts w:ascii="Times New Roman" w:hAnsi="Times New Roman" w:cs="Times New Roman"/>
          <w:sz w:val="24"/>
          <w:szCs w:val="24"/>
          <w:lang w:val="en"/>
        </w:rPr>
        <w:instrText>ADDIN CSL_CITATION {"citationItems":[{"id":"ITEM-1","itemData":{"ISSN":"1359-8546","author":[{"dropping-particle":"","family":"Zimmermann","given":"Ricardo","non-dropping-particle":"","parse-names":false,"suffix":""},{"dropping-particle":"","family":"Ferreira","given":"Luís Miguel D F","non-dropping-particle":"","parse-names":false,"suffix":""},{"dropping-particle":"","family":"Moreira","given":"Antonio Carrizo","non-dropping-particle":"","parse-names":false,"suffix":""}],"container-title":"Supply Chain Management: An International Journal","id":"ITEM-1","issue":"3","issued":{"date-parts":[["2020"]]},"page":"375-391","publisher":"Emerald Publishing Limited","title":"An empirical analysis of the relationship between supply chain strategies, product characteristics, environmental uncertainty and performance","type":"article-journal","volume":"25"},"uris":["http://www.mendeley.com/documents/?uuid=de5a4eb6-13a7-42b4-ac19-86e2e8a8c82e"]}],"mendeley":{"formattedCitation":"(Zimmermann et al., 2020)","plainTextFormattedCitation":"(Zimmermann et al., 2020)","previouslyFormattedCitation":"(Zimmermann et al., 2020)"},"properties":{"noteIndex":0},"schema":"https://github.com/citation-style-language/schema/raw/master/csl-citation.json"}</w:instrText>
      </w:r>
      <w:r w:rsidR="00EC61F6" w:rsidRPr="000004DB">
        <w:rPr>
          <w:rStyle w:val="rynqvb"/>
          <w:rFonts w:ascii="Times New Roman" w:hAnsi="Times New Roman" w:cs="Times New Roman"/>
          <w:sz w:val="24"/>
          <w:szCs w:val="24"/>
          <w:lang w:val="en"/>
        </w:rPr>
        <w:fldChar w:fldCharType="separate"/>
      </w:r>
      <w:r w:rsidR="00EC61F6" w:rsidRPr="000004DB">
        <w:rPr>
          <w:rStyle w:val="rynqvb"/>
          <w:rFonts w:ascii="Times New Roman" w:hAnsi="Times New Roman" w:cs="Times New Roman"/>
          <w:noProof/>
          <w:sz w:val="24"/>
          <w:szCs w:val="24"/>
          <w:lang w:val="en"/>
        </w:rPr>
        <w:t>(Zimmermann et al., 2020)</w:t>
      </w:r>
      <w:r w:rsidR="00EC61F6" w:rsidRPr="000004DB">
        <w:rPr>
          <w:rStyle w:val="rynqvb"/>
          <w:rFonts w:ascii="Times New Roman" w:hAnsi="Times New Roman" w:cs="Times New Roman"/>
          <w:sz w:val="24"/>
          <w:szCs w:val="24"/>
          <w:lang w:val="en"/>
        </w:rPr>
        <w:fldChar w:fldCharType="end"/>
      </w:r>
      <w:r w:rsidR="00EC61F6"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EC61F6"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The supply chain relies heavily on third-party logistics providers (3PLs) to meet the rising demands of customers and the prevalence of outsourcing </w:t>
      </w:r>
      <w:r w:rsidR="00E67304" w:rsidRPr="000004DB">
        <w:rPr>
          <w:rStyle w:val="rynqvb"/>
          <w:rFonts w:ascii="Times New Roman" w:hAnsi="Times New Roman" w:cs="Times New Roman"/>
          <w:sz w:val="24"/>
          <w:szCs w:val="24"/>
          <w:lang w:val="en"/>
        </w:rPr>
        <w:fldChar w:fldCharType="begin" w:fldLock="1"/>
      </w:r>
      <w:r w:rsidR="00DB0B37" w:rsidRPr="000004DB">
        <w:rPr>
          <w:rStyle w:val="rynqvb"/>
          <w:rFonts w:ascii="Times New Roman" w:hAnsi="Times New Roman" w:cs="Times New Roman"/>
          <w:sz w:val="24"/>
          <w:szCs w:val="24"/>
          <w:lang w:val="en"/>
        </w:rPr>
        <w:instrText>ADDIN CSL_CITATION {"citationItems":[{"id":"ITEM-1","itemData":{"DOI":"10.1108/IJPDLM-09-2016-0271","ISBN":"0920160271","ISSN":"09600035","abstract":"Purpose: Drawing upon the theory of the resource-based view, the purpose of this paper is to examine the relationships among relational resources, innovation capability and firm performance in the third-party logistics (3PL) industry. Design/methodology/approach: Based on data collected from 203 3PL providers in China, this study adopts the approach of structural equation modeling to examine the hypothesized relationships among relational resources, innovation capability and firm performance. Findings: The results of this research confirm that relational resources have a positive effect on firm performance. However, the effect is not direct, but realized through the mediation of innovation capability. This study indicates that relational resources are important for 3PL providers to achieve superior performance, and innovation capability plays a mediating role between relational resources and firm performance. Originality/value: The main contributions of this paper to the literature are twofold. First, it extends the extant research by highlighting the mediating mechanism of innovation capability in relational resources’ influence on firm performance. Second, it advances the existing perspectives on 3PL firms in the Chinese context and this sheds light on logistics research on emerging markets.","author":[{"dropping-particle":"","family":"Shou","given":"Yongyi","non-dropping-particle":"","parse-names":false,"suffix":""},{"dropping-particle":"","family":"Shao","given":"Jinan","non-dropping-particle":"","parse-names":false,"suffix":""},{"dropping-particle":"","family":"Chen","given":"Anlan","non-dropping-particle":"","parse-names":false,"suffix":""}],"container-title":"International Journal of Physical Distribution and Logistics Management","id":"ITEM-1","issue":"9","issued":{"date-parts":[["2017"]]},"page":"864-883","title":"Relational resources and performance of Chinese third-party logistics providers: The mediating role of innovation capability","type":"article-journal","volume":"47"},"uris":["http://www.mendeley.com/documents/?uuid=07627439-b99a-47a1-a36d-675c64a8036e"]}],"mendeley":{"formattedCitation":"(Shou et al., 2017)","plainTextFormattedCitation":"(Shou et al., 2017)","previouslyFormattedCitation":"(Shou et al., 2017)"},"properties":{"noteIndex":0},"schema":"https://github.com/citation-style-language/schema/raw/master/csl-citation.json"}</w:instrText>
      </w:r>
      <w:r w:rsidR="00E67304" w:rsidRPr="000004DB">
        <w:rPr>
          <w:rStyle w:val="rynqvb"/>
          <w:rFonts w:ascii="Times New Roman" w:hAnsi="Times New Roman" w:cs="Times New Roman"/>
          <w:sz w:val="24"/>
          <w:szCs w:val="24"/>
          <w:lang w:val="en"/>
        </w:rPr>
        <w:fldChar w:fldCharType="separate"/>
      </w:r>
      <w:r w:rsidR="00DB0B37" w:rsidRPr="000004DB">
        <w:rPr>
          <w:rStyle w:val="rynqvb"/>
          <w:rFonts w:ascii="Times New Roman" w:hAnsi="Times New Roman" w:cs="Times New Roman"/>
          <w:noProof/>
          <w:sz w:val="24"/>
          <w:szCs w:val="24"/>
          <w:lang w:val="en"/>
        </w:rPr>
        <w:t>(Shou et al., 2017)</w:t>
      </w:r>
      <w:r w:rsidR="00E67304" w:rsidRPr="000004DB">
        <w:rPr>
          <w:rStyle w:val="rynqvb"/>
          <w:rFonts w:ascii="Times New Roman" w:hAnsi="Times New Roman" w:cs="Times New Roman"/>
          <w:sz w:val="24"/>
          <w:szCs w:val="24"/>
          <w:lang w:val="en"/>
        </w:rPr>
        <w:fldChar w:fldCharType="end"/>
      </w:r>
      <w:r w:rsidR="00E67304" w:rsidRPr="000004DB">
        <w:rPr>
          <w:rStyle w:val="rynqvb"/>
          <w:rFonts w:ascii="Times New Roman" w:hAnsi="Times New Roman" w:cs="Times New Roman"/>
          <w:sz w:val="24"/>
          <w:szCs w:val="24"/>
          <w:lang w:val="en"/>
        </w:rPr>
        <w:t>.</w:t>
      </w:r>
    </w:p>
    <w:p w14:paraId="14428D73" w14:textId="77777777" w:rsidR="005C762F" w:rsidRPr="000004DB" w:rsidRDefault="00E46DDC" w:rsidP="00AE1636">
      <w:pPr>
        <w:spacing w:after="0" w:line="276" w:lineRule="auto"/>
        <w:ind w:firstLine="567"/>
        <w:jc w:val="both"/>
        <w:rPr>
          <w:rFonts w:ascii="Times New Roman" w:hAnsi="Times New Roman" w:cs="Times New Roman"/>
          <w:sz w:val="24"/>
          <w:szCs w:val="24"/>
          <w:lang w:val="en"/>
        </w:rPr>
      </w:pPr>
      <w:r w:rsidRPr="000004DB">
        <w:rPr>
          <w:rStyle w:val="rynqvb"/>
          <w:rFonts w:ascii="Times New Roman" w:hAnsi="Times New Roman" w:cs="Times New Roman"/>
          <w:sz w:val="24"/>
          <w:szCs w:val="24"/>
          <w:lang w:val="en"/>
        </w:rPr>
        <w:t>The role of freight forwarders, as third-party logistics providers (3PLs), is crucial in the delivery and receipt of goods</w:t>
      </w:r>
      <w:r w:rsidR="00A400A7"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A400A7" w:rsidRPr="000004DB">
        <w:rPr>
          <w:rStyle w:val="rynqvb"/>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 xml:space="preserve">Broadly defined, a third-party logistics (3PL) provider refers to a specialized company that assumes responsibility for managing a spectrum of logistics operations on behalf of its client organizations </w:t>
      </w:r>
      <w:r w:rsidR="009D17BD" w:rsidRPr="000004DB">
        <w:rPr>
          <w:rStyle w:val="rynqvb"/>
          <w:rFonts w:ascii="Times New Roman" w:hAnsi="Times New Roman" w:cs="Times New Roman"/>
          <w:sz w:val="24"/>
          <w:szCs w:val="24"/>
          <w:lang w:val="en"/>
        </w:rPr>
        <w:fldChar w:fldCharType="begin" w:fldLock="1"/>
      </w:r>
      <w:r w:rsidR="00A76E8B" w:rsidRPr="000004DB">
        <w:rPr>
          <w:rStyle w:val="rynqvb"/>
          <w:rFonts w:ascii="Times New Roman" w:hAnsi="Times New Roman" w:cs="Times New Roman"/>
          <w:sz w:val="24"/>
          <w:szCs w:val="24"/>
          <w:lang w:val="en"/>
        </w:rPr>
        <w:instrText>ADDIN CSL_CITATION {"citationItems":[{"id":"ITEM-1","itemData":{"ISSN":"0960-0035","author":[{"dropping-particle":"","family":"Sink","given":"Harry L","non-dropping-particle":"","parse-names":false,"suffix":""},{"dropping-particle":"","family":"Langley Jr","given":"C John","non-dropping-particle":"","parse-names":false,"suffix":""},{"dropping-particle":"","family":"Gibson","given":"Brian J","non-dropping-particle":"","parse-names":false,"suffix":""}],"container-title":"International Journal of Physical Distribution &amp; Logistics Management","id":"ITEM-1","issue":"3","issued":{"date-parts":[["1996"]]},"page":"38-46","publisher":"MCB UP Ltd","title":"Buyer observations of the US third‐party logistics market","type":"article-journal","volume":"26"},"uris":["http://www.mendeley.com/documents/?uuid=33dc6ac0-86c5-439b-be2d-60b805bbc0c9"]}],"mendeley":{"formattedCitation":"(Sink et al., 1996)","plainTextFormattedCitation":"(Sink et al., 1996)","previouslyFormattedCitation":"(Sink et al., 1996)"},"properties":{"noteIndex":0},"schema":"https://github.com/citation-style-language/schema/raw/master/csl-citation.json"}</w:instrText>
      </w:r>
      <w:r w:rsidR="009D17BD" w:rsidRPr="000004DB">
        <w:rPr>
          <w:rStyle w:val="rynqvb"/>
          <w:rFonts w:ascii="Times New Roman" w:hAnsi="Times New Roman" w:cs="Times New Roman"/>
          <w:sz w:val="24"/>
          <w:szCs w:val="24"/>
          <w:lang w:val="en"/>
        </w:rPr>
        <w:fldChar w:fldCharType="separate"/>
      </w:r>
      <w:r w:rsidR="009D17BD" w:rsidRPr="000004DB">
        <w:rPr>
          <w:rStyle w:val="rynqvb"/>
          <w:rFonts w:ascii="Times New Roman" w:hAnsi="Times New Roman" w:cs="Times New Roman"/>
          <w:noProof/>
          <w:sz w:val="24"/>
          <w:szCs w:val="24"/>
          <w:lang w:val="en"/>
        </w:rPr>
        <w:t>(Sink et al., 1996)</w:t>
      </w:r>
      <w:r w:rsidR="009D17BD" w:rsidRPr="000004DB">
        <w:rPr>
          <w:rStyle w:val="rynqvb"/>
          <w:rFonts w:ascii="Times New Roman" w:hAnsi="Times New Roman" w:cs="Times New Roman"/>
          <w:sz w:val="24"/>
          <w:szCs w:val="24"/>
          <w:lang w:val="en"/>
        </w:rPr>
        <w:fldChar w:fldCharType="end"/>
      </w:r>
      <w:r w:rsidR="009D17BD"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9D17BD"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As it pertains to freight forwarders' work, the current supply chain architecture requires parts that depend on the freight forwarder's reliability and operational efficiency as much as on the specs of the cargo </w:t>
      </w:r>
      <w:r w:rsidR="00F53115" w:rsidRPr="000004DB">
        <w:rPr>
          <w:rStyle w:val="rynqvb"/>
          <w:rFonts w:ascii="Times New Roman" w:hAnsi="Times New Roman" w:cs="Times New Roman"/>
          <w:sz w:val="24"/>
          <w:szCs w:val="24"/>
          <w:lang w:val="en"/>
        </w:rPr>
        <w:fldChar w:fldCharType="begin" w:fldLock="1"/>
      </w:r>
      <w:r w:rsidR="00E924D5" w:rsidRPr="000004DB">
        <w:rPr>
          <w:rStyle w:val="rynqvb"/>
          <w:rFonts w:ascii="Times New Roman" w:hAnsi="Times New Roman" w:cs="Times New Roman"/>
          <w:sz w:val="24"/>
          <w:szCs w:val="24"/>
          <w:lang w:val="en"/>
        </w:rPr>
        <w:instrText>ADDIN CSL_CITATION {"citationItems":[{"id":"ITEM-1","itemData":{"DOI":"10.33271/nvngu/2021-1/204","ISBN":"0000000264440","ISSN":"22232362","abstract":"purpose. To develop the methodology for choosing the strategies of freight forwarding companies in the situation of interaction with freight owners as customers of forwarding services. Methodology. The gametheoretical approach is used to formalize the conflict situation between a freight forwarding company and a cargo owner. A set of services proposed by forwarders is used as the base in order to represent possible strategies of a forwarder as the vector of probabilities that the respective services are provided for a client. The strategies of the cargo owner are represented as a binary variable that shows whether the client uses the provided services or not. The payoff function for a forwarder is defined as the company’s profit and the client’s payoff function – as fee paid for forwarding services. To determine the influence of the demand parameters on the forwarder’s optimal strategies, the demand for transport services is represented as a flow of requests characterized by two numeric parameters – delivery distance and consignment weight. findings. The conducted experimental studies have shown that as a result of the use of the proposed methodology, the optimal strategy of a forwarding company can always be determined from the payoff matrix. The performed simulation experiment allowed us to state that in most cases the forwarder’s optimal strategy is mixed (the technological and commercial services should be provided with the given probability while servicing the flow of requests from freight owners). Originality. The studies on the influence of the request flow parameters on the probabilities of choosing the elementary strategies are carried in the paper for the first time. practical value. The proposed methodology can be used as the basic tool for supporting decisions of freight forwarders while servicing the cargo owners at the market of road freight transportation.","author":[{"dropping-particle":"","family":"Nugymanova","given":"G.","non-dropping-particle":"","parse-names":false,"suffix":""},{"dropping-particle":"","family":"Nurgaliyeva","given":"M.","non-dropping-particle":"","parse-names":false,"suffix":""},{"dropping-particle":"","family":"Zhanbirov","given":"Zh","non-dropping-particle":"","parse-names":false,"suffix":""},{"dropping-particle":"","family":"Naumov","given":"V.","non-dropping-particle":"","parse-names":false,"suffix":""},{"dropping-particle":"","family":"Taran","given":"I.","non-dropping-particle":"","parse-names":false,"suffix":""}],"container-title":"Naukovyi Visnyk Natsionalnoho Hirnychoho Universytetu","id":"ITEM-1","issue":"1","issued":{"date-parts":[["2021"]]},"page":"204-210","title":"Choosing a servicing company’s strategy while interacting with freight owners at the road transport market","type":"article-journal"},"uris":["http://www.mendeley.com/documents/?uuid=d2e6d033-c9ba-421b-b589-bccf69dff61a"]}],"mendeley":{"formattedCitation":"(Nugymanova et al., 2021)","plainTextFormattedCitation":"(Nugymanova et al., 2021)","previouslyFormattedCitation":"(Nugymanova et al., 2021)"},"properties":{"noteIndex":0},"schema":"https://github.com/citation-style-language/schema/raw/master/csl-citation.json"}</w:instrText>
      </w:r>
      <w:r w:rsidR="00F53115" w:rsidRPr="000004DB">
        <w:rPr>
          <w:rStyle w:val="rynqvb"/>
          <w:rFonts w:ascii="Times New Roman" w:hAnsi="Times New Roman" w:cs="Times New Roman"/>
          <w:sz w:val="24"/>
          <w:szCs w:val="24"/>
          <w:lang w:val="en"/>
        </w:rPr>
        <w:fldChar w:fldCharType="separate"/>
      </w:r>
      <w:r w:rsidR="00F53115" w:rsidRPr="000004DB">
        <w:rPr>
          <w:rStyle w:val="rynqvb"/>
          <w:rFonts w:ascii="Times New Roman" w:hAnsi="Times New Roman" w:cs="Times New Roman"/>
          <w:noProof/>
          <w:sz w:val="24"/>
          <w:szCs w:val="24"/>
          <w:lang w:val="en"/>
        </w:rPr>
        <w:t>(Nugymanova et al., 2021)</w:t>
      </w:r>
      <w:r w:rsidR="00F53115" w:rsidRPr="000004DB">
        <w:rPr>
          <w:rStyle w:val="rynqvb"/>
          <w:rFonts w:ascii="Times New Roman" w:hAnsi="Times New Roman" w:cs="Times New Roman"/>
          <w:sz w:val="24"/>
          <w:szCs w:val="24"/>
          <w:lang w:val="en"/>
        </w:rPr>
        <w:fldChar w:fldCharType="end"/>
      </w:r>
      <w:r w:rsidR="00F53115"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F53115" w:rsidRPr="000004DB">
        <w:rPr>
          <w:rStyle w:val="rynqvb"/>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The freight forwarding industry has progressively encountered heightened global competition.</w:t>
      </w:r>
      <w:r w:rsidR="00FC6D9A" w:rsidRPr="000004DB">
        <w:rPr>
          <w:rStyle w:val="rynqvb"/>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 xml:space="preserve"> The accelerated pace of this growth has fostered the emergence of new market entrants and digital logistics providers, capable of advancing logistics </w:t>
      </w:r>
      <w:r w:rsidR="00475A1A" w:rsidRPr="000004DB">
        <w:rPr>
          <w:rStyle w:val="rynqvb"/>
          <w:rFonts w:ascii="Times New Roman" w:hAnsi="Times New Roman" w:cs="Times New Roman"/>
          <w:sz w:val="24"/>
          <w:szCs w:val="24"/>
          <w:lang w:val="en"/>
        </w:rPr>
        <w:lastRenderedPageBreak/>
        <w:t xml:space="preserve">performance by improving Speed, </w:t>
      </w:r>
      <w:r w:rsidRPr="000004DB">
        <w:rPr>
          <w:rStyle w:val="rynqvb"/>
          <w:rFonts w:ascii="Times New Roman" w:hAnsi="Times New Roman" w:cs="Times New Roman"/>
          <w:sz w:val="24"/>
          <w:szCs w:val="24"/>
          <w:lang w:val="en"/>
        </w:rPr>
        <w:t>the effectiveness of operations</w:t>
      </w:r>
      <w:r w:rsidR="00FC6D9A" w:rsidRPr="000004DB">
        <w:rPr>
          <w:rStyle w:val="rynqvb"/>
          <w:rFonts w:ascii="Times New Roman" w:hAnsi="Times New Roman" w:cs="Times New Roman"/>
          <w:sz w:val="24"/>
          <w:szCs w:val="24"/>
          <w:lang w:val="en"/>
        </w:rPr>
        <w:t>,</w:t>
      </w:r>
      <w:r w:rsidRPr="000004DB">
        <w:rPr>
          <w:rStyle w:val="rynqvb"/>
          <w:rFonts w:ascii="Times New Roman" w:hAnsi="Times New Roman" w:cs="Times New Roman"/>
          <w:sz w:val="24"/>
          <w:szCs w:val="24"/>
          <w:lang w:val="en"/>
        </w:rPr>
        <w:t xml:space="preserve"> and the reliability of services </w:t>
      </w:r>
      <w:r w:rsidR="00E924D5" w:rsidRPr="000004DB">
        <w:rPr>
          <w:rStyle w:val="rynqvb"/>
          <w:rFonts w:ascii="Times New Roman" w:hAnsi="Times New Roman" w:cs="Times New Roman"/>
          <w:sz w:val="24"/>
          <w:szCs w:val="24"/>
          <w:lang w:val="en"/>
        </w:rPr>
        <w:fldChar w:fldCharType="begin" w:fldLock="1"/>
      </w:r>
      <w:r w:rsidR="00A76E8B" w:rsidRPr="000004DB">
        <w:rPr>
          <w:rStyle w:val="rynqvb"/>
          <w:rFonts w:ascii="Times New Roman" w:hAnsi="Times New Roman" w:cs="Times New Roman"/>
          <w:sz w:val="24"/>
          <w:szCs w:val="24"/>
          <w:lang w:val="en"/>
        </w:rPr>
        <w:instrText>ADDIN CSL_CITATION {"citationItems":[{"id":"ITEM-1","itemData":{"DOI":"10.3390/logistics4020010","ISSN":"23056290 (ISSN)","abstract":"For years, the freight forwarding industry has been facing high levels of global competition. Accelerating this development, new and digital competitors are entering the market, striving to make freight logistics even faster, cheaper, and more predictable. Digitalization processes change traditional logistics businesses, leading to more efficient, flexible, and de-centrally organized logistics services. Sea freight operations, in particular, have the potential to better fulfill customer-specific requirements in competitive and complex environments by integrating digital technologies. Therefore, it is essential to understand how automating informational processes, such as freight brokering, affect business models in the logistics service industry. The present study qualitatively analyzed the case of FreightHub, a fourth-party logistics (4PL) sea freight agency, and compared its business model with traditional third-party logistics (3PL) business models. Applying a digital business model conceptualization, the present paper presents an extended framework for digital sea freight business models. In this line, the study contributes to theory and practice by refining business model research in the maritime transportation context, and providing managerial implications about the opportunities and threats of a digital transition in this industry. © 2020 by the authors.","author":[{"dropping-particle":"","family":"Gruchmann","given":"T","non-dropping-particle":"","parse-names":false,"suffix":""},{"dropping-particle":"","family":"Pratt","given":"N","non-dropping-particle":"","parse-names":false,"suffix":""},{"dropping-particle":"","family":"Eiten","given":"J","non-dropping-particle":"","parse-names":false,"suffix":""},{"dropping-particle":"","family":"Melkonyan","given":"A","non-dropping-particle":"","parse-names":false,"suffix":""}],"container-title":"Logistics","id":"ITEM-1","issue":"2","issued":{"date-parts":[["2020"]]},"language":"English","note":"Cited By :11\n\nExport Date: 1 April 2023\n\nCorrespondence Address: Gruchmann, T.; Institute of Management and Tourism (IMT), Germany; email: gruchmann@fh-westkueste.de\n\nReferences: Gruchmann, T., Schmidt, I., Lubjuhn, S., Seuring, S., Bouman, M., Informing logistics social responsibility from a consumer-choice-centered perspective (2019) Int. J. Logist. Manag, 30, pp. 96-116; \nHofmann, E., Osterwalder, F., Third-party logistics providers in the digital age: Towards a new competitive arena? (2017) Logistics, 1;\nTap a Button, Book a Load, , https://freight.uber.com, Available online;\nSchramm, H.J., Czaja, C.N., Dittrich, M., Mentschel, M., Current Advancements of and Future Developments for Fourth Party Logistics in a Digital Future (2019) Logistics, 3;\nGruchmann, T., Melkonyan, A., Krumme, K., Logistics business transformation for sustainability: Assessing the role of the lead sustainability service provider (6PL) (2018) Logistics, 2;\nSaglietto, L., Cézanne, C., A bibliometric analysis of research on 4PL (2015) Int. J. Transp. Econ, 42, pp. 461-465;\nParida, V., Sjödin, D., Reim, W., Reviewing Literature on Digitalization, Business Model Innovation, and Sustainable Industry: Past Achievements and Future Promises (2019) Sustainability, 11;\nKovács, G., Spens, K., Abductive reasoning in logistics research (2005) Int. J. Phys. Distrib. Logist. Manag, 35, pp. 132-144;\nKöylüoglu, G., Krumme, K., Kriterienfindung für nachhaltige Geschäftsprozesse in der Logistik—Eine Aufarbeitung bestehender Probleme und möglicher Chancen (2014) Corporate Social Responsibility in der Logistikbranche: Anforderungen an Eine Nachhaltige Unternehmensführung, , Erich Schmidt Verlag, Berlin, Germany;\nPflaum, A., Gundelfinger, C., Naumann, V., Schwemmer, M., (2017) Transportlogistik 4.0, , Fraunhofer Institut, Erlangen, Germany;\nBecker, W., Eierle, B., Fliaster, A., Ivens, B., Leischning, A., Pflaum, A., Sucky, E., (2019) Geschäftsmodelle in der digitalen Welt. Strategien, Prozesse und Praxiserfahrungen, , Springer Gabler, Wiesbaden, Germany;\nGammelgaard, B., van Hoek, R., Stefansson, G., Collaborative logistics management and the role of third-party service providers (2006) Int. J. Phys. Distrib. Logist. Manag, 36, pp. 76-92;\nHalldórsson, Á., Kovács, G., Wolf, C., Seuring, S., Environmental impacts as buying criteria for third party logistical services (2010) Int. J. Phys. Distrib. Logist. Manag, 40, pp. 84-102;\nJayaram, J., Tan, K.C., Supply chain integration with third-party logistics providers (2010) Int. J. Prod. Econ, 125, pp. 262-271;\nLai, F., Chu, Z., Wang, Q., Fan, C., Managing dependence in logistics outsourcing relationships: Evidence from China (2013) Int. J. Prod. Res, 51, pp. 3037-3054;\nLeuschner, R., Carter, C.R., Goldsby, T.J., Rogers, Z.S., Third-party logistics: A meta-analytic review and investigation of its impact on performance (2014) J. Supply Chain Manag, 50, pp. 21-43;\nGovindan, K., Chaudhuri, A., Interrelationships of risks faced by third party logistics service providers: A DEMATEL based approach (2016) Transp. Res. Part E: Logist. Transp. Rev, 90, pp. 177-195;\nSingh, R.K., Gunasekaran, A., Kumar, P., Third party logistics (3PL) selection for cold chain management: A fuzzy AHP and fuzzy TOPSIS approach (2018) Ann. Oper. Res, 267, pp. 531-553;\nKrakovics, F., Leal, J.E., Mendes Jr, P., Santos, R.L., Defining and calibrating performance indicators of a 4PL in the chemical industry in Brazil (2008) Int. J. Prod. Econ, 115, pp. 502-514;\nHsiao, H.I., Kemp, R.G.M., Van der Vorst, J.G.A.J., Omta, S.O., A classification of logistic outsourcing levels and their impact on service performance: Evidence from the food processing industry (2010) Int. J. Prod. Econ, 124, pp. 75-86;\nHingley, M.K., Lindgreen, A., Grant, D.B., Kane, C., Using fourth-party logistics management to improve horizontal collaboration among grocery retailers (2011) Supply Chain Manag. Int. J, 16, pp. 316-327;\nSaglietto, L., Towards a classification of fourth party logistics (4PL) (2013) Univ. J. Ind. Bus. Manag, 1, pp. 104-116;\nMehmann, J., Teuteberg, F., The fourth-party logistics service provider approach to support sustainable development goals in transportation–a case study of the German agricultural bulk logistics sector (2016) J. Clean. Prod, 126, pp. 382-393;\nTäuscher, K., Laudien, S.M., Understanding platform business models: A mixed methods study of marketplaces (2018) Eur. Manag. J, 36, pp. 319-329;\nPorter, M.E., Heppelmann, J.E., How smart, connected products are transforming companies (2015) Harv. Bus. Rev, 93, pp. 96-114;\nRachinger, M., Rauter, R., Müller, C., Vorraber, W., Schirgi, E., Digitalization and its influence on business model innovation (2019) J. Manuf. Technol. Manag, 30, pp. 1143-1160;\nEhret, M., Wirtz, J., Unlocking value from machines: Business models and the industrial internet of things (2017) J. Mark. Manag, 33, pp. 111-130;\nBressanelli, G., Adrodegari, F., Perona, M., Saccani, N., Exploring how usage-focused business models enable circular economy through digital technologies (2018) Sustainability, 10;\nPorter, M.E., Heppelmann, J.E., How smart, connected products are transforming competition (2014) Harv. Bus. Rev, 92, pp. 64-88;\nAnnarelli, A., Battistella, C., Nonino, F., How Product Service System Can Disrupt Companies’ Business Model (2019) The Road to Servitization, pp. 175-205. , Springer, Cham, Germany;\nPflaum, A., Klötzer, C., Von der Pipeline zur Plattform–Strategische Implikationen für das Unternehmen (2019) Geschäftsmodelle in der Digitalen Welt, pp. 57-74. , Springer Gabler, Wiesbaden, Germany;\nTeece, D.J., Business models, business strategy and innovation (2010) Long Range Plan, 43, pp. 172-194;\nTeece, D.J., Linden, G., Business models, value capture, and the digital enterprise (2017) J. Organ. Des, 6, p. 8;\nCenamor, J., Parida, V., Wincent, J., How entrepreneurial SMEs compete through digital platforms: The roles of digital platform capability, network capability and ambidexterity (2019) J. Bus. Res, 100, pp. 196-206;\nGrubic, T., Jennions, I., Remote monitoring technology and servitised strategies–factors characterising the organisational application (2018) Int. J. Prod. Res, 56, pp. 2133-2149;\nClausen, U., Geiger, C., (2013) Verkehrs- und Transportlogistik, , 2nd ed., Springer Veiweg (VDI), Berlin, Germany;\nIntelligentes Transportmanagement Dank Künstlicher Intelligenz und Algorithmen. Whitepaper, , https://freighthub.com/wp-content/uploads/2020/01/FreightHub_Whitepaper_Intelligentes_Transportmanagement-1.pdf, Available online;\nE-Supply Chain: So Gelingt das Proaktive Management Ihrer Geschäftsprozesse, , https://freighthub.com/de/blog/proaktives-management-der-geschaeftsprozesse/, Available online;\nTüllmann, C., Prasse, C., Sagner, D., Piastowski, H., Prozesse durch Digitalisierung nachhaltig optimieren (2016) Future Challenges in Logistics and Supply Chain Management, , Fraunhofer IML, Dortmund, Germany;\nJaskólski, K., Availability and Integrity Model of Automatic Identification System (AIS) Information (2014) Ph.D. Thesis, , GRIN Verlag, Munich, Germany;\nGruchmann, T., Seuring, S., Explaining logistics social responsibility from a dynamic capabilities perspective (2018) Int. J. Logist. Manag, 29, pp. 1255-1278;\nHodkinson, P., Hodkinson, H., The Strengths and Limitation of Case Study Research (2001) Making an Impact on Policy and Practice, , University of Leeds, Leeds, UK;\nChiarini, A., Lean production: Mistakes and limitations of accounting systems inside the SME sector (2012) J. Manuf. Technol. Manag, 23, pp. 681-700;\nMelkonyan, A., Krumme, K., Gruchmann, T., Spinler, S., Schumacher, T., Bleischwitz, R., Scenario and strategy planning for transformative supply chains within a sustainable economy (2019) J. Clean. Prod, 231, pp. 144-160","publisher":"MDPI","publisher-place":"Institute of Management and Tourism (IMT), Westcoast University of Applied Sciences, Heide, 25746, Germany","title":"4PL Digital Business Models in Sea Freight Logistics: The Case of FreightHub","type":"article-journal","volume":"4"},"uris":["http://www.mendeley.com/documents/?uuid=3ac1e16d-dbd9-43b2-b245-1062f8b344d7"]}],"mendeley":{"formattedCitation":"(Gruchmann et al., 2020)","plainTextFormattedCitation":"(Gruchmann et al., 2020)","previouslyFormattedCitation":"(Gruchmann et al., 2020)"},"properties":{"noteIndex":0},"schema":"https://github.com/citation-style-language/schema/raw/master/csl-citation.json"}</w:instrText>
      </w:r>
      <w:r w:rsidR="00E924D5" w:rsidRPr="000004DB">
        <w:rPr>
          <w:rStyle w:val="rynqvb"/>
          <w:rFonts w:ascii="Times New Roman" w:hAnsi="Times New Roman" w:cs="Times New Roman"/>
          <w:sz w:val="24"/>
          <w:szCs w:val="24"/>
          <w:lang w:val="en"/>
        </w:rPr>
        <w:fldChar w:fldCharType="separate"/>
      </w:r>
      <w:r w:rsidR="00E924D5" w:rsidRPr="000004DB">
        <w:rPr>
          <w:rStyle w:val="rynqvb"/>
          <w:rFonts w:ascii="Times New Roman" w:hAnsi="Times New Roman" w:cs="Times New Roman"/>
          <w:noProof/>
          <w:sz w:val="24"/>
          <w:szCs w:val="24"/>
          <w:lang w:val="en"/>
        </w:rPr>
        <w:t>(Gruchmann et al., 2020)</w:t>
      </w:r>
      <w:r w:rsidR="00E924D5" w:rsidRPr="000004DB">
        <w:rPr>
          <w:rStyle w:val="rynqvb"/>
          <w:rFonts w:ascii="Times New Roman" w:hAnsi="Times New Roman" w:cs="Times New Roman"/>
          <w:sz w:val="24"/>
          <w:szCs w:val="24"/>
          <w:lang w:val="en"/>
        </w:rPr>
        <w:fldChar w:fldCharType="end"/>
      </w:r>
      <w:r w:rsidR="000B1B07" w:rsidRPr="000004DB">
        <w:rPr>
          <w:rStyle w:val="rynqvb"/>
          <w:rFonts w:ascii="Times New Roman" w:hAnsi="Times New Roman" w:cs="Times New Roman"/>
          <w:sz w:val="24"/>
          <w:szCs w:val="24"/>
          <w:lang w:val="en"/>
        </w:rPr>
        <w:t>.</w:t>
      </w:r>
      <w:r w:rsidR="00FC6D9A" w:rsidRPr="000004DB">
        <w:rPr>
          <w:rStyle w:val="rynqvb"/>
          <w:rFonts w:ascii="Times New Roman" w:hAnsi="Times New Roman" w:cs="Times New Roman"/>
          <w:sz w:val="24"/>
          <w:szCs w:val="24"/>
          <w:lang w:val="en"/>
        </w:rPr>
        <w:t xml:space="preserve"> </w:t>
      </w:r>
      <w:r w:rsidR="000B1B07" w:rsidRPr="000004DB">
        <w:rPr>
          <w:rStyle w:val="rynqvb"/>
          <w:rFonts w:ascii="Times New Roman" w:hAnsi="Times New Roman" w:cs="Times New Roman"/>
          <w:sz w:val="24"/>
          <w:szCs w:val="24"/>
          <w:lang w:val="en"/>
        </w:rPr>
        <w:t xml:space="preserve"> </w:t>
      </w:r>
      <w:r w:rsidRPr="000004DB">
        <w:rPr>
          <w:rFonts w:ascii="Times New Roman" w:hAnsi="Times New Roman" w:cs="Times New Roman"/>
          <w:sz w:val="24"/>
          <w:szCs w:val="24"/>
          <w:lang w:val="en"/>
        </w:rPr>
        <w:t xml:space="preserve">Effortlessly pursuing increased profits, freight forwarders </w:t>
      </w:r>
      <w:r w:rsidR="00475A1A" w:rsidRPr="000004DB">
        <w:rPr>
          <w:rFonts w:ascii="Times New Roman" w:hAnsi="Times New Roman" w:cs="Times New Roman"/>
          <w:sz w:val="24"/>
          <w:szCs w:val="24"/>
          <w:lang w:val="en"/>
        </w:rPr>
        <w:t xml:space="preserve">adopt a systematic approach to transportation planning that integrates the utilization of internal fleets with external resources </w:t>
      </w:r>
      <w:r w:rsidR="00DE600B" w:rsidRPr="000004DB">
        <w:rPr>
          <w:rFonts w:ascii="Times New Roman" w:hAnsi="Times New Roman" w:cs="Times New Roman"/>
          <w:sz w:val="24"/>
          <w:szCs w:val="24"/>
          <w:lang w:val="en"/>
        </w:rPr>
        <w:fldChar w:fldCharType="begin" w:fldLock="1"/>
      </w:r>
      <w:r w:rsidR="00A76E8B" w:rsidRPr="000004DB">
        <w:rPr>
          <w:rFonts w:ascii="Times New Roman" w:hAnsi="Times New Roman" w:cs="Times New Roman"/>
          <w:sz w:val="24"/>
          <w:szCs w:val="24"/>
          <w:lang w:val="en"/>
        </w:rPr>
        <w:instrText>ADDIN CSL_CITATION {"citationItems":[{"id":"ITEM-1","itemData":{"DOI":"10.1016/j.ejor.2014.02.056","ISSN":"03772217 (ISSN)","abstract":"In order to improve profitability, freight forwarding companies try to organize their operational transportation planning systematically, considering not only their own fleet but also external resources. Such external resources include vehicles from closely related subcontractors in vertical cooperations, autonomous common carriers on the transportation market, and cooperating partners in horizontal coalitions. In this paper, the transportation planning process of forwarders is studied and the benefit of including external resources is analyzed. By introducing subcontracting, the conventional routing of own vehicles is extended to an integrated operational transportation planning, which simultaneously constructs fulfillment plans with overall lowest costs using the own fleet and subcontractors' vehicles. This is then combined with planning strategies, which intend to increase the profitability by exchanging requests among members in horizontal coalitions. Computational results show considerable cost reductions using the proposed planning approach. © 2014 Elsevier B.V. All rights reserved.","author":[{"dropping-particle":"","family":"Wang","given":"X","non-dropping-particle":"","parse-names":false,"suffix":""},{"dropping-particle":"","family":"Kopfer","given":"H","non-dropping-particle":"","parse-names":false,"suffix":""},{"dropping-particle":"","family":"Gendreau","given":"M","non-dropping-particle":"","parse-names":false,"suffix":""}],"container-title":"European Journal of Operational Research","id":"ITEM-1","issue":"3","issued":{"date-parts":[["2014"]]},"language":"English","note":"Cited By :63\n\nExport Date: 1 April 2023\n\nCODEN: EJORD\n\nCorrespondence Address: Kopfer, H.; Depart. of Logistics, University of Bremen, Bremen, Germany; email: kopfer@uni-bremen.de\n\nFunding details: Deutsche Forschungsgemeinschaft, DFG\n\nFunding text 1: This research was supported by the German Research Foundation (DFG) as part of the project “Kooperative Rundreiseplanung bei rollierender Planung”.\n\nReferences: Ball, M.O., Golden, B.L., Assad, A.A., Bodin, L.D., Planning for truck fleet size in the presence of a common-carrier option (1983) Decision Sciences, 14, pp. 103-120; \nBerger, S., Bierwirth, C., Solutions to the request reassignment in collaborative carrier networks (2010) Transportation Research Part e, 46, pp. 627-638;\nBolduc, M.-C., Renaud, J., Boctor, F., A heuristic for the routing and carrier selection problem (2007) European Journal of Operational Research, 183, pp. 926-932;\nBolduc, M.-C., Renaud, J., Boctor, F., Laporte, G., A perturbation metaheuristic for the vehicle routing problem with private fleet and common carriers (2008) Journal of the Operational Research Society, 59, pp. 776-787;\nChu, C.-W., A heuristic algorithm for the truckload and less-than-truckload problem (2005) European Journal of Operational Research, 165, pp. 657-667;\nCordeau, J.-F., Desaulniers, G., Desrosiers, J., Solomon, M., Soumis, F., VRP with time windows (2002) The Vehicle Routing Problem, pp. 57-194. , P. Toth, D. Vigo, SIAM Philadelphia, PA;\nCôté, J.-F., Potvin, J.-Y., A tabu search heuristic for the vehicle routing problem with private fleet and common carrier (2009) European Journal of Operational Research, 198, pp. 464-469;\nCruijssen, F., Salomon, M., Empirical study: Order sharing between transportation companies may result in cost reductions between 5 to 15 percent (2004) CentER Discussion Paper;\nDantzig, G.B., Wolfe, P., Decomposition principle for linear programs (1960) Operations Research, 8, pp. 101-111;\nDesrosiers, G., Desaulniers, J., Erdmann, A., Solomon, M.M., Soumis, F., The VRP with pickup and delivery (2002) The Vehicle Routing Problem, pp. 25-242. , P. Toth, D. Vigo, SIAM Philadelphia, PA;\nKlincewicz, J.G., Luss, H., Pilcher, M.G., Fleet size planning when outside carrier services are available (1990) Transportation Science, 24, pp. 169-182;\nKrajewska, M., Kopfer, H., Collaborating freight forwarding enterprises - Request allocation and profit sharing (2006) OR Spectrum, 28, pp. 301-317;\nKrajewska, M., Kopfer, H., Transportation planning in freight forwarding companies - Tabu search algorithm for the integrated operational transportation planning problem (2009) European Journal of Operational Research, 197, pp. 741-751;\nKrajewska, M., Kopfer, H., Laporte, G., Ropke, S., Zaccour, G., Horizontal cooperation of freight carriers: Request allocation and profit sharing (2008) Journal of the Operational Research Society, 59, pp. 1483-1491;\nLi, H., Lim, A., A metaheuristic for the pickup and delivery problem with time windows (2001) The 13th IEEE Conference on Tools with Artificial Intelligence (ICTAI), pp. 160-170;\nÖzener, O.O., Ergun, O., Savelsbergh, M., Lane-exchange mechanisms for truckload carrier collaboration (2011) Transportation Science, 45, pp. 1-17;\nRopke, S., Pisinger, D., An adaptive large neighborhood search heuristic for the pickup and delivery problem with time windows (2006) Transportation Science, 40, pp. 455-472;\nSchönberger, J., (2005) Operational Freight Carrier Planning, , Springer Berlin Heidelberg New York;\nSchwind, M., Gujo, O., Vykoukal, J., A combinatorial intra-enterprise exchange for logistics services (2009) Information Systems and E-Business Management, 7, pp. 447-471;\nStadtler, H., A framework for collaborative planning and state-of-The-Art (2009) OR Spectrum, 31, pp. 5-30;\nWang, X., Kopfer, H., Collaborative transportation planning of less-than-truckload freight: A route-based request exchange mechanism (2014) OR Spectrum, 36, pp. 357-380","page":"1133-1141","publisher":"Elsevier","publisher-place":"Depart. of Logistics, University of Bremen, Bremen, Germany","title":"Operational transportation planning of freight forwarding companies in horizontal coalitions","type":"article-journal","volume":"237"},"uris":["http://www.mendeley.com/documents/?uuid=d06eda37-2d11-4e01-9d94-9f89f7dd14c8"]}],"mendeley":{"formattedCitation":"(Wang et al., 2014)","plainTextFormattedCitation":"(Wang et al., 2014)","previouslyFormattedCitation":"(Wang et al., 2014)"},"properties":{"noteIndex":0},"schema":"https://github.com/citation-style-language/schema/raw/master/csl-citation.json"}</w:instrText>
      </w:r>
      <w:r w:rsidR="00DE600B" w:rsidRPr="000004DB">
        <w:rPr>
          <w:rFonts w:ascii="Times New Roman" w:hAnsi="Times New Roman" w:cs="Times New Roman"/>
          <w:sz w:val="24"/>
          <w:szCs w:val="24"/>
          <w:lang w:val="en"/>
        </w:rPr>
        <w:fldChar w:fldCharType="separate"/>
      </w:r>
      <w:r w:rsidR="00DE600B" w:rsidRPr="000004DB">
        <w:rPr>
          <w:rFonts w:ascii="Times New Roman" w:hAnsi="Times New Roman" w:cs="Times New Roman"/>
          <w:noProof/>
          <w:sz w:val="24"/>
          <w:szCs w:val="24"/>
          <w:lang w:val="en"/>
        </w:rPr>
        <w:t>(Wang et al., 2014)</w:t>
      </w:r>
      <w:r w:rsidR="00DE600B" w:rsidRPr="000004DB">
        <w:rPr>
          <w:rFonts w:ascii="Times New Roman" w:hAnsi="Times New Roman" w:cs="Times New Roman"/>
          <w:sz w:val="24"/>
          <w:szCs w:val="24"/>
          <w:lang w:val="en"/>
        </w:rPr>
        <w:fldChar w:fldCharType="end"/>
      </w:r>
      <w:r w:rsidR="00DE600B" w:rsidRPr="000004DB">
        <w:rPr>
          <w:rFonts w:ascii="Times New Roman" w:hAnsi="Times New Roman" w:cs="Times New Roman"/>
          <w:sz w:val="24"/>
          <w:szCs w:val="24"/>
          <w:lang w:val="en"/>
        </w:rPr>
        <w:t>.</w:t>
      </w:r>
      <w:r w:rsidR="00FC6D9A" w:rsidRPr="000004DB">
        <w:rPr>
          <w:rFonts w:ascii="Times New Roman" w:hAnsi="Times New Roman" w:cs="Times New Roman"/>
          <w:sz w:val="24"/>
          <w:szCs w:val="24"/>
          <w:lang w:val="en"/>
        </w:rPr>
        <w:t xml:space="preserve"> </w:t>
      </w:r>
      <w:r w:rsidR="00DE600B" w:rsidRPr="000004DB">
        <w:rPr>
          <w:rFonts w:ascii="Times New Roman" w:hAnsi="Times New Roman" w:cs="Times New Roman"/>
          <w:sz w:val="24"/>
          <w:szCs w:val="24"/>
          <w:lang w:val="en"/>
        </w:rPr>
        <w:t xml:space="preserve"> </w:t>
      </w:r>
      <w:r w:rsidR="00475A1A" w:rsidRPr="000004DB">
        <w:rPr>
          <w:rFonts w:ascii="Times New Roman" w:hAnsi="Times New Roman" w:cs="Times New Roman"/>
          <w:sz w:val="24"/>
          <w:szCs w:val="24"/>
          <w:lang w:val="en"/>
        </w:rPr>
        <w:t xml:space="preserve">Freight forwarding firms are required to anticipate potential disruptions in logistics operations and to formulate expansion initiatives that are strategically aligned with global market opportunities </w:t>
      </w:r>
      <w:r w:rsidR="00DB5F14" w:rsidRPr="000004DB">
        <w:rPr>
          <w:rFonts w:ascii="Times New Roman" w:hAnsi="Times New Roman" w:cs="Times New Roman"/>
          <w:sz w:val="24"/>
          <w:szCs w:val="24"/>
          <w:lang w:val="en"/>
        </w:rPr>
        <w:fldChar w:fldCharType="begin" w:fldLock="1"/>
      </w:r>
      <w:r w:rsidR="00A76E8B" w:rsidRPr="000004DB">
        <w:rPr>
          <w:rFonts w:ascii="Times New Roman" w:hAnsi="Times New Roman" w:cs="Times New Roman"/>
          <w:sz w:val="24"/>
          <w:szCs w:val="24"/>
          <w:lang w:val="en"/>
        </w:rPr>
        <w:instrText>ADDIN CSL_CITATION {"citationItems":[{"id":"ITEM-1","itemData":{"DOI":"10.1108/09600031011018046","ISSN":"09600035 (ISSN)","abstract":"Purpose: The purpose of this paper is to refine a logistics triad uncertainty model taking a supply chain perspective, to determine and assess the different causes and sources of supply chain uncertainty that impact on the sustainability of the UK road freight transport sector. Design/methodology/approach: To clarify the link between sustainability and transport uncertainty, a methodological triangulation strategy is applied combining the results of eight focus groups and an online structured questionnaire. Findings: The findings indicate that the main drivers impacting the sustainability of transport operations are delays, variable demand/poor information, delivery constraints and insufficient supply chain integration. The consequence of these problems is to reduce the efficiency of transport operations. Research limitations/implications: The model has been refined based only on participants' perceptions. Therefore, the finding should also be verified through the investigation of real-world situations. Moreover, the transport uncertainty model needs to be incorporated within a wider business process re-engineering approach to evaluate solutions to reduce transport uncertainty within supply chains. Practical implications: The findings further strengthen the understanding of the main uncertainty sources within supply chains in the UK. The internal root causes of uncertainty can be mitigated while external issues have to be accommodated; therefore, mitigation techniques, methods and strategies for reducing external and internal supply chain uncertainty in transport operations need to be identified through the research. Originality/value: This paper determines the industry perceived economic and environmental risks associated with transport operations in four UK sectors. © Emerald Group Publishing Limited.","author":[{"dropping-particle":"","family":"Sanchez-Rodrigues","given":"V","non-dropping-particle":"","parse-names":false,"suffix":""},{"dropping-particle":"","family":"Potter","given":"A","non-dropping-particle":"","parse-names":false,"suffix":""},{"dropping-particle":"","family":"Naim","given":"M M","non-dropping-particle":"","parse-names":false,"suffix":""}],"container-title":"International Journal of Physical Distribution and Logistics Management","id":"ITEM-1","issue":"1-2","issued":{"date-parts":[["2010"]]},"language":"English","note":"Cited By :75\n\nExport Date: 1 April 2023\n\nCorrespondence Address: Sanchez-Rodrigues, V.; Cardiff University Innovative Manufacturing Research Centre, United Kingdom; email: sanchezrodriguesva1@cf.ac.uk\n\nReferences: Amstrong, J.S., Overton, T.S., Estimating non-response bias in mail surveys (1977) Journal of Marketing Research, 14, pp. 396-402; \nAnon, Establishing a transport operation focussed uncertainty model for the supply chain (2008) International Journal of Physical Distribution &amp;amp; Logistics Management, 38 (5), pp. 388-411;\nArlbjorn, J.S., Halldorsson, A., Logistics knowledge creation: Reflections on content, context and processes (2002) International Journal of Physical Distribution &amp;amp; Logistics Management, 32 (1), pp. 22-40;\nBask, A.H., Relationships among TPL providers and members of the supply chains - a strategic perspective (2001) The Journal of Business &amp;amp; Industrial Marketing, 16 (6-7), pp. 470-486;\nBlythman, J., (2004) Shopped: The Shocking Power of British Supermarkets, , Fourth Estate, London;\nBoughton, R.F., Addressing the escalating cost of road transport (2003) Logistics and Transport Focus, 5 (3), pp. 36-43;\nCavinato, L.J., Supply chain logistics risks: From the back room to the board room (2004) International Journal of Physical Distribution &amp;amp; Logistics Management, 34 (5), pp. 383-387;\nChoy, K.L., Li, C.-L., So, S., Lau, H., Kwok, S.K., Leung, D.W.K., Managing uncertainty in logistics service supply chain (2007) International Journal of Risk Assessment and Management, 7 (1), pp. 19-43;\nChristopher, M., Lee, H., Mitigating supply chain risk through improved confidence (2004) International Journal of Physical Distribution &amp;amp; Logistics Management, 34 (5), pp. 388-396;\nDavis, T., Effective supply chain management (1993) Sloan Management Review, pp. 35-46. , Summer;\nEasterby-Smith, M., Thorpe, R., Lowe, A., (1993) Management Research: An Introduction, , Sage, London;\nEsper, T.L., Williams, L.R., The value of collaborative transportation management (CTM): Its relationship to CPFR and information technology (2003) Transportation Journal, 42 (4), pp. 55-65;\nFowkes, A.S., Firmin, P.E., Tweddle, G., Whiteing, A.E., How highly does the freight transport industry value journey time reliability - and for what reasons? (2004) International Journal of Logistics: Research and Applications, 7 (1), pp. 33-43;\nGeary, S., Childerhouse, P., Towill, D., Uncertainty and the seamless supply chain (2002) Supply Chain Management Review, pp. 52-61. , July/August;\nGiunipero, L.C., Eltantawy, R.A., Securing the upstream supply chain: A risk management approach (2004) International Journal of Physical Distribution &amp;amp; Logistics Management, 34 (9), pp. 698-713;\nGolob, T.F., Regan, A.C., Impacts of highway congestion on freight operations: Perceptions of trucking industry managers (2001) Transportation Research Part A: Policy and Practice, 35 (7), pp. 577-599;\nKrueger, R.A., (1998) Focus Groups: A Practical Guide for Applied Research, , Sage, London, 2nd ed;\nMcKinnon, A., (2007) CO2 Emissions from Freight Transport in the UK, , Logistics Research Centre, Heriot-Watt University, Edinburgh;\nMcKinnon, A., Ge, Y., Use of a synchronised vehicle audit to determine opportunities for improving transport efficiency in a supply chain (2004) International Journal of Logistics: Research and Applications, 7 (3), pp. 219-238;\nMangan, J., Lalwani, C., Gardner, B., Combining quantitative and qualitative methodologies in logistics research (2004) International Journal of Physical Distribution &amp;amp; Logistics Management, 34 (7-8), pp. 565-578;\nMason-Jones, R., Towill, D.R., Shrinking the supply chain uncertainty circle (1998) Control, pp. 17-22. , September;\nMorgan, D.L., (1998) Focus Groups as Qualitative Research, , Sage, London;\nNaim, M.M., Potter, A.T., Mason, R.J., Bateman, N., The role of transportation flexibility in logistics provision (2006) The International Journal of Logistics Management, 17 (3), pp. 297-311;\nNew, S.J., Payne, P., Research frameworks in logistics: Three models, seven dinners and a survey (1995) International Journal of Physical Distribution &amp;amp; Logistics Management, 25 (10), pp. 60-77;\nPeck, H., Abley, J., Christopher, M., Haywood, M., Saw, R., Rutherford, C., Strathen, M., (2003) Creating Resilient Supply Chains: A Practical Guide, , Cranfield University;\nPlug, G., Romisch, W., (2007) Modeling, Measuring and Managing Risk, , World Scientific, London;\nStank, T.P., Goldsby, T.J., A framework for transportation decision making in an integrated supply chain (2000) Supply Chain Management: An International Journal, 5 (2), pp. 71-77;\nTracey, M., Transportation effectiveness and manufacturing firm performance (2004) International Journal of Logistics Management, 15 (2), pp. 31-49;\nvan der Vorst, J., Beulens, A., Identifying sources of uncertainty to generate supply chain redesign strategies (2002) International Journal of Physical Distribution &amp;amp; Logistics Management, 32 (6), pp. 409-430;\nvan Schijndel, W.J., Dinwoodie, J., Congestion and multimodal transport: A survey of cargo transport operators in the Netherlands (2000) Transport Policy, 7 (4), pp. 231-241;\nVickery, S., Calantone, R., Droge, C., Supply chain flexibility: An empirical study (1999) Journal of Supply Chain Management, 35 (3), pp. 16-24;\nSanchez-Rodrigues, V., Potter, A., Naim, M.M., Determine the uncertainties hindering sustainability in the UK transport sector (2007) Proceedings of the 12th Logistics Research Network Conference, pp. 359-364. , Newcastle, 5-7 September;\n(2007) Structure and Explanatory Notes, , Classification United Kingdom Standard, Office for National Statistics, Newport","page":"61-83","publisher-place":"Cardiff University Innovative Manufacturing Research Centre, Cardiff, United Kingdom","title":"The impact of logistics uncertainty on sustainable transport operations","type":"article-journal","volume":"40"},"uris":["http://www.mendeley.com/documents/?uuid=c4d8bef0-b89b-4845-bb92-fef3545ea908"]},{"id":"ITEM-2","itemData":{"DOI":"10.1108/09600030310471961","ISSN":"09600035 (ISSN)","abstract":"This paper deals with the dynamics of internationalisation and globalisation of the freight-forwarding and logistics service providers. A case study, based on E.ON, Stinnes, Schenker, BTL and other European and non-European firms, is presented in order to illustrate the process. The organisation and strategies developed by the firms under study with the aim to expand their activities on European, transnational and global levels are presented. The information was gathered using the Internet as a research tool. Focus is placed on the organisational routes used by the firms in order to expand their activities outside of their home base, and on their business strategies. © 2003, MCB UP Limited","author":[{"dropping-particle":"","family":"Lemoine","given":"W","non-dropping-particle":"","parse-names":false,"suffix":""},{"dropping-particle":"","family":"Dagnæs","given":"L","non-dropping-particle":"","parse-names":false,"suffix":""}],"container-title":"International Journal of Physical Distribution &amp; Logistics Management","id":"ITEM-2","issue":"3","issued":{"date-parts":[["2003"]]},"language":"English","note":"Cited By :57\n\nExport Date: 1 April 2023\n\nReferences: Arvidsson, N., Internationalisation of service firms: strategic considerations (1997) Internationalisation Strategies, pp. 71-89. , in Chryssochoidis, G., Millar, C. and Clegg, J. (Eds), Macmillan Press Ltd, Basingstoke; \nBjörkman, I., Kock, S., Inward international activities in service firms – illustrated by three cases from the tourism industry (1997) International Journal of Service Industry Management, 8, pp. 362-376;\nSchenker-BTL now the largest in Europe (1998) BTL News, , 981002, available at: www.btl.se/news/english/pressreleases.html;\nBTL's CEO, Håkan Larssons comments on the Stinnes offer (1999) BTL News, , February, available at: www.btl.se/schenker_btl/schenker_btl_sweden/news/archive/english/990201b.html;\nThree subsidiary companies specialising in logistics available at: www.btl.se/english/src.html; Castells, M., (2000) The Rise of the Network Society, The Information Age: Economy, Society and Culture, 1. , Blackwell, Cambridge, MA;\nDagnæs, L., Meyer, M., Tredjeparts logistik i Danmark (1998) Logistikledelse, , LedelsesHåndbøger, Børsen, DK;\nDagnæs, L., Lemoine, W., Ragus, L., (1999) Den Kompetente Transportvirksomhed, , Institut for Transportstudier, Toptryk I/S, Padborg, available at: www.transportstudier.dk/rapporter;\nDennis, C., Networking for marketing advantage (2000) Management Decision, 38, pp. 287-292;\n(2002) Supervisory Board Approves Sale of Stinnes Stake to Deutsche Bahn, , available at: www.eon-ag.com/online/Push/en/common/1204372668/fs_load2?_navBereich=media&amp;amp;_contURL=media_news_detail&amp;amp;_obenURL=media&amp;amp;_rbparams=PK%3D399, July 3. See also: The Supervisory Board of E.ON AG, Duesseldorf Approves the Sale of the Remaining Shares Held by E.ON AG to Deutsche Bahn AG. The Two Companies Sign a Contract, available at: www.stinnes.de/english/konzern/-History/index.html;\nGhauri, P.N., Emergence of new structures in Swedish multinationals (1993) The Internationalisation of the Firm: A Reader, pp. 261-272. , in Buckley, P.J. and Ghauri, P.N. (Eds), Academic Press, Cambridge;\nLexicon, , (n.d.), available at: www.globalize.org/lexicon.asp;\nGomes-Casseres, B., (1996) The Alliance Revolution: The New Shape of Business Rivalry, , Harvard University Press, Cambridge, MA;\nGrönroos, C., Internationalization strategies for services (1999) Journal for Services Marketing, 13, pp. 290-297;\nHarzing, A.-W., Acquisitions versus Greenfield investments: international strategy and management of entry models (2002) Strategic Management Journal, 23, pp. 211-227;\nHertz, S., (1993) The Internationalization Processes of Freight Transport Companies – Towards a Dynamic Network Model of Internationalization, , The Economic Research Institute, Effi;\nJarrat, D.G., A strategic classification of business alliances: a qualitative perspective built from a study of small and medium-sized enterprises (1998) Qualitative Market Research: An International Journal, 1, pp. 39-49;\nLarsson, H., Strategy for business development in Europe – main changes (1998) Paper presented at TFK Anniversary Conference, Transport in Northern Europe – Changes and Perspectives, From an East-West Division to an Integrated Europe, , TFK Anniversary Conference, Hamburg, 19-20 October;\nLloyd, B., The outlook for globalization (1996) Leadership &amp;amp; Organization Development Journal, 17, pp. 18-23;\nLudvigsen, J., (2000) The International Networking Between European Logistical Operators, , The Economic Research Institute, Stockholm;\n(1999) Schenker to Invest DEM 20 Million in Rotterdam Facility. New Logistics Center Shaping Up, , available at: www.schenker.com/News/Rotterdam3/Rotterdam3.htm 5 March;\n(2000) All of the Most Important Service From a Single Source. Schenker Strengthens European Land Transport with Castelletti, , available at: www.schenker.com/english/news/folder/castelletti.html 18 September;\n(2000) For Global Logistics Solutions. Schenker and Masped Establish Joint Venture in Hungary for Air and Sea Freight, , available at: www.schenker.com/english/news/folder/Masped.htm 9 May;\n(2000) A Combination of Local Know-How and Global Presence. Schenker Strengthens its Position in Indonesia, , available at: www.schenker.com/english/news/folder/Indonesia.html 27 June;\n(2000) Largest Provider of Integrated Logistics Services in Germany. Schenker-BTL and Schenker International to Become a Single Company in Germany in 2001, , available at: www.schenker.com/english/news/folder/germany.html 22 November;\n(2000) Infrastructure with Superior Information Technology. Schenker-Seino Logistics Starts Business, , available at: www.schenker.com/english/news/folder/seino2.html 22 February;\n(2000) Important Freight Distribution Hub for Eastern Europe. New Schenker Logistics Center Starts Operations in Vienna, , 18 October, available at: www.schenker.com/english/news/folder/vienna.html;\n(2000) Schenker Expands Network in Eastern Europe. Logistics Center Near Prague With State-of-the-Art Services and Technology, , available at: www.schenker.com/english/news/folder/Prague.html 3 July;\n(2000) Network of Locations Ensures Trouble-Free Flow of Goods. Schenker Opens the Most Modern Logistics Center in the Baltic Countries, , available at: www.schenker.com/english/news/folder/Tallinn.html 10 May;\n(2000) Schenker Integrated Logistics Center Rotterdam Opened. New Hub for Global Flow of Goods at the World's Largest Port, , available at: www.schenker.com/english/news/folder/ilc.html 23 September;\n(2002) Schenker: From a Freight Forwarder to an Integrated Logistics Service Provider. New Market Ideas for 130 Years, , available at: www.schenker.com/english/news/newsFolder/jub130.html 5 September;\n(n.d.), Schenker's Logistics Center in Singapore, , available at: www.schenker.com/english/projects/singapore.html;\nSchmitz Whipple, J., Gentry, J., A network comparison of alliance motives and achievements (2000) Journal of Business &amp;amp; Industrial Marketing, 15, pp. 301-322;\n(2000) Stinnes’ Subsidiary Schenker and Deutsche Bahn to Establish Railog Joint Venture – Joint Logistics Services for European Customers, , available at: www.stinnes.de/english/presse/mitteilungen/11_00_railog.html;\n(2001) Annual Report 2001, , available at: www.stinnes.de/english/investor/finanzberichte/index.html;\nSchenker and Seino Cooperate on a Global Basis (1999) Strategic Alliance for Integrated Logistics and Freight Forwarding., , 2 November, available at: www.schenker.com/english/news/folder/seino.html;\nStone, M.A., European expansion of UK third-party logistics service providers (2001) International Journal of Logistics: Research and Applications, 4, pp. 98-115;\nStrandskov, J., Towards a new approach for studying the internationalisation process of firms (1993) The Internationalisation of the Firm: A Reader, pp. 201-216. , in Buckley, P.J. and Ghauri, P.N. (Eds), Academic Press, Cambridge;\nSvensson, G., ‘Glocalization’ of business activities: a ‘glocal strategy’ approach’ (2001) Management Decision, 39, pp. 6-18;\n(2000) VEBA-VIAG Merger Signals Era of New Growth, , available at: www.veba-archives.com/index_en.html. Press from 10 February;\n(2000) Veba to Enter Merger with Considerable Momentum, , available at: www.veba-archives.com/index_en.html. Press;\nAG E.ON gets go-ahead: merger clears last hurdle (2000) Press Information, , available at: www.viag-archives.com/Press/2000/000613.html 13 June;\nZeffane, R., The widening scope of inter-organisational networking: economic, sectoral and social dimensions (1995) Leadership &amp;amp; Organization Development Journal, 16, pp. 26-33;\n(2001) Stinnes Subsidiary Pursues Large-Scale Logistics Project – Schenker More Than Ever the Specialist for Sector-Specific Solutions, , available at: www.stinnes.de/english/presse/mitteilungen/03_01_VW_Hannover.html 3 July","page":"209-228","publisher-place":"Institut for Transportstudier, Padborg, Denmark","title":"Globalisation strategies and business organisation of a network of logistics service providers","type":"article-journal","volume":"33"},"uris":["http://www.mendeley.com/documents/?uuid=d3a5307f-3734-4f34-8b27-9f61148677ff"]}],"mendeley":{"formattedCitation":"(Lemoine and Dagnæs, 2003; Sanchez-Rodrigues et al., 2010)","plainTextFormattedCitation":"(Lemoine and Dagnæs, 2003; Sanchez-Rodrigues et al., 2010)","previouslyFormattedCitation":"(Lemoine and Dagnæs, 2003; Sanchez-Rodrigues et al., 2010)"},"properties":{"noteIndex":0},"schema":"https://github.com/citation-style-language/schema/raw/master/csl-citation.json"}</w:instrText>
      </w:r>
      <w:r w:rsidR="00DB5F14" w:rsidRPr="000004DB">
        <w:rPr>
          <w:rFonts w:ascii="Times New Roman" w:hAnsi="Times New Roman" w:cs="Times New Roman"/>
          <w:sz w:val="24"/>
          <w:szCs w:val="24"/>
          <w:lang w:val="en"/>
        </w:rPr>
        <w:fldChar w:fldCharType="separate"/>
      </w:r>
      <w:r w:rsidR="00DB5F14" w:rsidRPr="000004DB">
        <w:rPr>
          <w:rFonts w:ascii="Times New Roman" w:hAnsi="Times New Roman" w:cs="Times New Roman"/>
          <w:noProof/>
          <w:sz w:val="24"/>
          <w:szCs w:val="24"/>
          <w:lang w:val="en"/>
        </w:rPr>
        <w:t>(Lemoine and Dagnæs, 2003; Sanchez-Rodrigues et al., 2010)</w:t>
      </w:r>
      <w:r w:rsidR="00DB5F14" w:rsidRPr="000004DB">
        <w:rPr>
          <w:rFonts w:ascii="Times New Roman" w:hAnsi="Times New Roman" w:cs="Times New Roman"/>
          <w:sz w:val="24"/>
          <w:szCs w:val="24"/>
          <w:lang w:val="en"/>
        </w:rPr>
        <w:fldChar w:fldCharType="end"/>
      </w:r>
      <w:r w:rsidR="005C762F" w:rsidRPr="000004DB">
        <w:rPr>
          <w:rFonts w:ascii="Times New Roman" w:hAnsi="Times New Roman" w:cs="Times New Roman"/>
          <w:sz w:val="24"/>
          <w:szCs w:val="24"/>
          <w:lang w:val="en"/>
        </w:rPr>
        <w:t>.</w:t>
      </w:r>
    </w:p>
    <w:p w14:paraId="7572F973" w14:textId="4F3E9F35" w:rsidR="00362781" w:rsidRPr="00362781" w:rsidRDefault="00554E27" w:rsidP="00362781">
      <w:pPr>
        <w:spacing w:after="0" w:line="276" w:lineRule="auto"/>
        <w:ind w:firstLine="567"/>
        <w:jc w:val="both"/>
        <w:rPr>
          <w:rStyle w:val="hwtze"/>
          <w:rFonts w:ascii="Times New Roman" w:hAnsi="Times New Roman" w:cs="Times New Roman"/>
          <w:sz w:val="24"/>
          <w:szCs w:val="24"/>
          <w:lang w:val="en"/>
        </w:rPr>
      </w:pPr>
      <w:r w:rsidRPr="000004DB">
        <w:rPr>
          <w:rStyle w:val="rynqvb"/>
          <w:rFonts w:ascii="Times New Roman" w:hAnsi="Times New Roman" w:cs="Times New Roman"/>
          <w:sz w:val="24"/>
          <w:szCs w:val="24"/>
          <w:lang w:val="en"/>
        </w:rPr>
        <w:t>Prior research has explored the benefits of digital technologies in logistics</w:t>
      </w:r>
      <w:r w:rsidR="0036064E" w:rsidRPr="000004DB">
        <w:rPr>
          <w:rStyle w:val="rynqvb"/>
          <w:rFonts w:ascii="Times New Roman" w:hAnsi="Times New Roman" w:cs="Times New Roman"/>
          <w:sz w:val="24"/>
          <w:szCs w:val="24"/>
          <w:lang w:val="en"/>
        </w:rPr>
        <w:t xml:space="preserve"> </w:t>
      </w:r>
      <w:r w:rsidR="0036064E" w:rsidRPr="000004DB">
        <w:rPr>
          <w:rStyle w:val="rynqvb"/>
          <w:rFonts w:ascii="Times New Roman" w:hAnsi="Times New Roman" w:cs="Times New Roman"/>
          <w:sz w:val="24"/>
          <w:szCs w:val="24"/>
          <w:lang w:val="en"/>
        </w:rPr>
        <w:fldChar w:fldCharType="begin" w:fldLock="1"/>
      </w:r>
      <w:r w:rsidR="009F0A5D" w:rsidRPr="000004DB">
        <w:rPr>
          <w:rStyle w:val="rynqvb"/>
          <w:rFonts w:ascii="Times New Roman" w:hAnsi="Times New Roman" w:cs="Times New Roman"/>
          <w:sz w:val="24"/>
          <w:szCs w:val="24"/>
          <w:lang w:val="en"/>
        </w:rPr>
        <w:instrText>ADDIN CSL_CITATION {"citationItems":[{"id":"ITEM-1","itemData":{"ISSN":"1387-3326","author":[{"dropping-particle":"","family":"Albrecht","given":"Tobias","non-dropping-particle":"","parse-names":false,"suffix":""},{"dropping-particle":"","family":"Baier","given":"Marie-Sophie","non-dropping-particle":"","parse-names":false,"suffix":""},{"dropping-particle":"","family":"Gimpel","given":"Henner","non-dropping-particle":"","parse-names":false,"suffix":""},{"dropping-particle":"","family":"Meierhöfer","given":"Simon","non-dropping-particle":"","parse-names":false,"suffix":""},{"dropping-particle":"","family":"Röglinger","given":"Maximilian","non-dropping-particle":"","parse-names":false,"suffix":""},{"dropping-particle":"","family":"Schlüchtermann","given":"Jörg","non-dropping-particle":"","parse-names":false,"suffix":""},{"dropping-particle":"","family":"Will","given":"Lisanne","non-dropping-particle":"","parse-names":false,"suffix":""}],"container-title":"Information Systems Frontiers","id":"ITEM-1","issue":"2","issued":{"date-parts":[["2024"]]},"page":"755-774","publisher":"Springer","title":"Leveraging digital technologies in logistics 4.0: Insights on affordances from intralogistics processes","type":"article-journal","volume":"26"},"uris":["http://www.mendeley.com/documents/?uuid=55a9acd8-cf08-42d2-a590-f8e5bfad1c05"]},{"id":"ITEM-2","itemData":{"ISSN":"2158-2440","author":[{"dropping-particle":"","family":"Jing","given":"Hui","non-dropping-particle":"","parse-names":false,"suffix":""},{"dropping-particle":"","family":"Fan","given":"Yuwei","non-dropping-particle":"","parse-names":false,"suffix":""}],"container-title":"Sage Open","id":"ITEM-2","issue":"3","issued":{"date-parts":[["2024"]]},"page":"21582440241281616","publisher":"SAGE Publications Sage CA: Los Angeles, CA","title":"Digital transformation, supply chain integration and supply chain performance: Evidence from Chinese manufacturing listed firms","type":"article-journal","volume":"14"},"uris":["http://www.mendeley.com/documents/?uuid=c2b8e73f-3692-45a1-a0c8-94a55de7986c"]}],"mendeley":{"formattedCitation":"(Albrecht et al., 2024; Jing and Fan, 2024)","plainTextFormattedCitation":"(Albrecht et al., 2024; Jing and Fan, 2024)","previouslyFormattedCitation":"(Albrecht et al., 2024; Jing and Fan, 2024)"},"properties":{"noteIndex":0},"schema":"https://github.com/citation-style-language/schema/raw/master/csl-citation.json"}</w:instrText>
      </w:r>
      <w:r w:rsidR="0036064E" w:rsidRPr="000004DB">
        <w:rPr>
          <w:rStyle w:val="rynqvb"/>
          <w:rFonts w:ascii="Times New Roman" w:hAnsi="Times New Roman" w:cs="Times New Roman"/>
          <w:sz w:val="24"/>
          <w:szCs w:val="24"/>
          <w:lang w:val="en"/>
        </w:rPr>
        <w:fldChar w:fldCharType="separate"/>
      </w:r>
      <w:r w:rsidR="0036064E" w:rsidRPr="000004DB">
        <w:rPr>
          <w:rStyle w:val="rynqvb"/>
          <w:rFonts w:ascii="Times New Roman" w:hAnsi="Times New Roman" w:cs="Times New Roman"/>
          <w:noProof/>
          <w:sz w:val="24"/>
          <w:szCs w:val="24"/>
          <w:lang w:val="en"/>
        </w:rPr>
        <w:t>(Albrecht et al., 2024; Jing and Fan, 2024)</w:t>
      </w:r>
      <w:r w:rsidR="0036064E" w:rsidRPr="000004DB">
        <w:rPr>
          <w:rStyle w:val="rynqvb"/>
          <w:rFonts w:ascii="Times New Roman" w:hAnsi="Times New Roman" w:cs="Times New Roman"/>
          <w:sz w:val="24"/>
          <w:szCs w:val="24"/>
          <w:lang w:val="en"/>
        </w:rPr>
        <w:fldChar w:fldCharType="end"/>
      </w:r>
      <w:r w:rsidRPr="000004DB">
        <w:rPr>
          <w:rStyle w:val="rynqvb"/>
          <w:rFonts w:ascii="Times New Roman" w:hAnsi="Times New Roman" w:cs="Times New Roman"/>
          <w:sz w:val="24"/>
          <w:szCs w:val="24"/>
          <w:lang w:val="en"/>
        </w:rPr>
        <w:t xml:space="preserve"> and the role of Incoterms in trade efficiency.</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However, most studies have treated these dimensions separately and focused on developed economies.</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Limited empirical evidence exists on how digital transformation and Incoterm selection jointly influence competitive advantage, particularly in the context of freight forwarders in developing countries.</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This gap </w:t>
      </w:r>
      <w:r w:rsidR="00FC6D9A" w:rsidRPr="000004DB">
        <w:rPr>
          <w:rStyle w:val="rynqvb"/>
          <w:rFonts w:ascii="Times New Roman" w:hAnsi="Times New Roman" w:cs="Times New Roman"/>
          <w:sz w:val="24"/>
          <w:szCs w:val="24"/>
          <w:lang w:val="en"/>
        </w:rPr>
        <w:t>underscores the need for a comprehensive study that integrates</w:t>
      </w:r>
      <w:r w:rsidRPr="000004DB">
        <w:rPr>
          <w:rStyle w:val="rynqvb"/>
          <w:rFonts w:ascii="Times New Roman" w:hAnsi="Times New Roman" w:cs="Times New Roman"/>
          <w:sz w:val="24"/>
          <w:szCs w:val="24"/>
          <w:lang w:val="en"/>
        </w:rPr>
        <w:t xml:space="preserve"> both technological and contractual perspectives.</w:t>
      </w:r>
      <w:r w:rsidR="00FC6D9A" w:rsidRPr="000004DB">
        <w:rPr>
          <w:rStyle w:val="rynqvb"/>
          <w:rFonts w:ascii="Times New Roman" w:hAnsi="Times New Roman" w:cs="Times New Roman"/>
          <w:sz w:val="24"/>
          <w:szCs w:val="24"/>
          <w:lang w:val="en"/>
        </w:rPr>
        <w:t xml:space="preserve"> </w:t>
      </w:r>
      <w:r w:rsidRPr="000004DB">
        <w:rPr>
          <w:rStyle w:val="rynqvb"/>
          <w:rFonts w:ascii="Times New Roman" w:hAnsi="Times New Roman" w:cs="Times New Roman"/>
          <w:sz w:val="24"/>
          <w:szCs w:val="24"/>
          <w:lang w:val="en"/>
        </w:rPr>
        <w:t xml:space="preserve"> </w:t>
      </w:r>
      <w:r w:rsidR="00CE608E" w:rsidRPr="000004DB">
        <w:rPr>
          <w:rStyle w:val="rynqvb"/>
          <w:rFonts w:ascii="Times New Roman" w:hAnsi="Times New Roman" w:cs="Times New Roman"/>
          <w:sz w:val="24"/>
          <w:szCs w:val="24"/>
          <w:lang w:val="en"/>
        </w:rPr>
        <w:t>A recent study by Sugiono et</w:t>
      </w:r>
      <w:r w:rsidR="00475A1A" w:rsidRPr="000004DB">
        <w:rPr>
          <w:rStyle w:val="rynqvb"/>
          <w:rFonts w:ascii="Times New Roman" w:hAnsi="Times New Roman" w:cs="Times New Roman"/>
          <w:sz w:val="24"/>
          <w:szCs w:val="24"/>
          <w:lang w:val="en"/>
        </w:rPr>
        <w:t xml:space="preserve"> </w:t>
      </w:r>
      <w:r w:rsidR="00CE608E" w:rsidRPr="000004DB">
        <w:rPr>
          <w:rStyle w:val="rynqvb"/>
          <w:rFonts w:ascii="Times New Roman" w:hAnsi="Times New Roman" w:cs="Times New Roman"/>
          <w:sz w:val="24"/>
          <w:szCs w:val="24"/>
          <w:lang w:val="en"/>
        </w:rPr>
        <w:t>al</w:t>
      </w:r>
      <w:r w:rsidR="00C47299" w:rsidRPr="000004DB">
        <w:rPr>
          <w:rStyle w:val="rynqvb"/>
          <w:rFonts w:ascii="Times New Roman" w:hAnsi="Times New Roman" w:cs="Times New Roman"/>
          <w:sz w:val="24"/>
          <w:szCs w:val="24"/>
          <w:lang w:val="en"/>
        </w:rPr>
        <w:t xml:space="preserve"> </w:t>
      </w:r>
      <w:r w:rsidR="0039184C" w:rsidRPr="000004DB">
        <w:rPr>
          <w:rStyle w:val="hwtze"/>
          <w:rFonts w:ascii="Times New Roman" w:hAnsi="Times New Roman" w:cs="Times New Roman"/>
          <w:sz w:val="24"/>
          <w:szCs w:val="24"/>
          <w:lang w:val="en"/>
        </w:rPr>
        <w:fldChar w:fldCharType="begin" w:fldLock="1"/>
      </w:r>
      <w:r w:rsidR="0039184C" w:rsidRPr="000004DB">
        <w:rPr>
          <w:rStyle w:val="hwtze"/>
          <w:rFonts w:ascii="Times New Roman" w:hAnsi="Times New Roman" w:cs="Times New Roman"/>
          <w:sz w:val="24"/>
          <w:szCs w:val="24"/>
          <w:lang w:val="en"/>
        </w:rPr>
        <w:instrText>ADDIN CSL_CITATION {"citationItems":[{"id":"ITEM-1","itemData":{"ISSN":"2830-1803","author":[{"dropping-particle":"","family":"Sugiono","given":"Ahmad","non-dropping-particle":"","parse-names":false,"suffix":""},{"dropping-particle":"","family":"Rahayu","given":"Agus","non-dropping-particle":"","parse-names":false,"suffix":""},{"dropping-particle":"","family":"Wibowo","given":"Lili Adi","non-dropping-particle":"","parse-names":false,"suffix":""},{"dropping-particle":"","family":"Hurriyati","given":"Ratih","non-dropping-particle":"","parse-names":false,"suffix":""}],"container-title":"Asian Journal of Logistics Management","id":"ITEM-1","issue":"2","issued":{"date-parts":[["2023"]]},"page":"64-91","publisher":"Universitas Diponegoro","title":"Analysis of Incoterms and Relational Resources to Improve Competitive Advantage: A Study of Freight Forwarders Company in Indonesia","type":"article-journal","volume":"2"},"suppress-author":1,"uris":["http://www.mendeley.com/documents/?uuid=cad6d53c-af5f-484e-a568-b9f846f5a6f5"]}],"mendeley":{"formattedCitation":"(2023)","plainTextFormattedCitation":"(2023)","previouslyFormattedCitation":"(2023)"},"properties":{"noteIndex":0},"schema":"https://github.com/citation-style-language/schema/raw/master/csl-citation.json"}</w:instrText>
      </w:r>
      <w:r w:rsidR="0039184C" w:rsidRPr="000004DB">
        <w:rPr>
          <w:rStyle w:val="hwtze"/>
          <w:rFonts w:ascii="Times New Roman" w:hAnsi="Times New Roman" w:cs="Times New Roman"/>
          <w:sz w:val="24"/>
          <w:szCs w:val="24"/>
          <w:lang w:val="en"/>
        </w:rPr>
        <w:fldChar w:fldCharType="separate"/>
      </w:r>
      <w:r w:rsidR="0039184C" w:rsidRPr="000004DB">
        <w:rPr>
          <w:rStyle w:val="hwtze"/>
          <w:rFonts w:ascii="Times New Roman" w:hAnsi="Times New Roman" w:cs="Times New Roman"/>
          <w:noProof/>
          <w:sz w:val="24"/>
          <w:szCs w:val="24"/>
          <w:lang w:val="en"/>
        </w:rPr>
        <w:t>(2023)</w:t>
      </w:r>
      <w:r w:rsidR="0039184C" w:rsidRPr="000004DB">
        <w:rPr>
          <w:rStyle w:val="hwtze"/>
          <w:rFonts w:ascii="Times New Roman" w:hAnsi="Times New Roman" w:cs="Times New Roman"/>
          <w:sz w:val="24"/>
          <w:szCs w:val="24"/>
          <w:lang w:val="en"/>
        </w:rPr>
        <w:fldChar w:fldCharType="end"/>
      </w:r>
      <w:r w:rsidR="00CE608E" w:rsidRPr="000004DB">
        <w:rPr>
          <w:rStyle w:val="rynqvb"/>
          <w:rFonts w:ascii="Times New Roman" w:hAnsi="Times New Roman" w:cs="Times New Roman"/>
          <w:sz w:val="24"/>
          <w:szCs w:val="24"/>
          <w:lang w:val="en"/>
        </w:rPr>
        <w:t xml:space="preserve"> </w:t>
      </w:r>
      <w:r w:rsidR="00E46DDC" w:rsidRPr="000004DB">
        <w:rPr>
          <w:rStyle w:val="rynqvb"/>
          <w:rFonts w:ascii="Times New Roman" w:hAnsi="Times New Roman" w:cs="Times New Roman"/>
          <w:sz w:val="24"/>
          <w:szCs w:val="24"/>
          <w:lang w:val="en"/>
        </w:rPr>
        <w:t>examined the relationship between freight forwarding companies' competitive advantage in Indonesia and the usage of Incoterms in conjunction with relational resources.</w:t>
      </w:r>
      <w:r w:rsidR="00FC6D9A" w:rsidRPr="000004DB">
        <w:rPr>
          <w:rStyle w:val="rynqvb"/>
          <w:rFonts w:ascii="Times New Roman" w:hAnsi="Times New Roman" w:cs="Times New Roman"/>
          <w:sz w:val="24"/>
          <w:szCs w:val="24"/>
          <w:lang w:val="en"/>
        </w:rPr>
        <w:t xml:space="preserve"> </w:t>
      </w:r>
      <w:r w:rsidR="00E46DDC" w:rsidRPr="000004DB">
        <w:rPr>
          <w:rStyle w:val="rynqvb"/>
          <w:rFonts w:ascii="Times New Roman" w:hAnsi="Times New Roman" w:cs="Times New Roman"/>
          <w:sz w:val="24"/>
          <w:szCs w:val="24"/>
          <w:lang w:val="en"/>
        </w:rPr>
        <w:t xml:space="preserve"> </w:t>
      </w:r>
      <w:r w:rsidR="00475A1A" w:rsidRPr="000004DB">
        <w:rPr>
          <w:rStyle w:val="rynqvb"/>
          <w:rFonts w:ascii="Times New Roman" w:hAnsi="Times New Roman" w:cs="Times New Roman"/>
          <w:sz w:val="24"/>
          <w:szCs w:val="24"/>
          <w:lang w:val="en"/>
        </w:rPr>
        <w:t>While the findings indicate a favorable impact, the conclusions are bound by the small sample size and an overreliance on relational factors.</w:t>
      </w:r>
      <w:r w:rsidR="00362781">
        <w:rPr>
          <w:rStyle w:val="rynqvb"/>
          <w:rFonts w:ascii="Times New Roman" w:hAnsi="Times New Roman" w:cs="Times New Roman"/>
          <w:sz w:val="24"/>
          <w:szCs w:val="24"/>
          <w:lang w:val="en"/>
        </w:rPr>
        <w:t xml:space="preserve"> </w:t>
      </w:r>
      <w:r w:rsidR="00362781" w:rsidRPr="00362781">
        <w:rPr>
          <w:rStyle w:val="hwtze"/>
          <w:rFonts w:ascii="Times New Roman" w:hAnsi="Times New Roman" w:cs="Times New Roman"/>
          <w:sz w:val="24"/>
          <w:szCs w:val="24"/>
          <w:lang w:val="en"/>
        </w:rPr>
        <w:t>Digital transformation studies in logistics have focused primarily on large multinational companies and developed markets (</w:t>
      </w:r>
      <w:proofErr w:type="spellStart"/>
      <w:r w:rsidR="00362781" w:rsidRPr="00362781">
        <w:rPr>
          <w:rStyle w:val="hwtze"/>
          <w:rFonts w:ascii="Times New Roman" w:hAnsi="Times New Roman" w:cs="Times New Roman"/>
          <w:sz w:val="24"/>
          <w:szCs w:val="24"/>
          <w:lang w:val="en"/>
        </w:rPr>
        <w:t>Winkelhaus</w:t>
      </w:r>
      <w:proofErr w:type="spellEnd"/>
      <w:r w:rsidR="00362781" w:rsidRPr="00362781">
        <w:rPr>
          <w:rStyle w:val="hwtze"/>
          <w:rFonts w:ascii="Times New Roman" w:hAnsi="Times New Roman" w:cs="Times New Roman"/>
          <w:sz w:val="24"/>
          <w:szCs w:val="24"/>
          <w:lang w:val="en"/>
        </w:rPr>
        <w:t xml:space="preserve"> &amp; Grosse, 2020; Cichosz et al., 2020), while Incoterm research has predominantly examined exporter and importer perspectives rather than freight forwarder viewpoints (Davis and Vogt, 2022; Bergami and Tichá, 2022). Sugiono et al. (2023) examined Incoterms and relational resources in Indonesian freight forwarding but with limited sample size and narrow focus on relational factors. Studies on competitive advantage in logistics have emphasized individual factors rather than integrated approaches (Zhang et al., 2024; Ferreira et al., 2020), creating gaps in understanding how multiple strategic dimensions interact to create sustainable competitive positioning.</w:t>
      </w:r>
    </w:p>
    <w:p w14:paraId="001BB18F" w14:textId="77777777" w:rsidR="00362781" w:rsidRPr="00362781" w:rsidRDefault="00362781" w:rsidP="00362781">
      <w:pPr>
        <w:spacing w:after="0" w:line="276" w:lineRule="auto"/>
        <w:ind w:firstLine="567"/>
        <w:jc w:val="both"/>
        <w:rPr>
          <w:rStyle w:val="hwtze"/>
          <w:rFonts w:ascii="Times New Roman" w:hAnsi="Times New Roman" w:cs="Times New Roman"/>
          <w:sz w:val="24"/>
          <w:szCs w:val="24"/>
          <w:lang w:val="en"/>
        </w:rPr>
      </w:pPr>
      <w:r w:rsidRPr="00362781">
        <w:rPr>
          <w:rStyle w:val="hwtze"/>
          <w:rFonts w:ascii="Times New Roman" w:hAnsi="Times New Roman" w:cs="Times New Roman"/>
          <w:sz w:val="24"/>
          <w:szCs w:val="24"/>
          <w:lang w:val="en"/>
        </w:rPr>
        <w:t>This research addresses urgent needs in the rapidly evolving freight forwarding sector. The COVID-19 pandemic has accelerated digital transformation requirements while simultaneously complicating international trade procedures, making the integration of digital capabilities and Incoterm expertise more critical than ever. Indonesian freight forwarders face increasing pressure from global competitors and digital-native logistics providers, requiring evidence-based strategies to maintain market share. Furthermore, the implementation of Incoterms 2020 and evolving trade regulations demand updated understanding of how contractual decisions impact competitive positioning. Without empirical guidance, firms risk making suboptimal investments in either technology or human capital, potentially compromising their long-term viability in increasingly competitive markets.</w:t>
      </w:r>
    </w:p>
    <w:p w14:paraId="519D5EAD" w14:textId="77777777" w:rsidR="00362781" w:rsidRPr="00362781" w:rsidRDefault="00362781" w:rsidP="00362781">
      <w:pPr>
        <w:spacing w:after="0" w:line="276" w:lineRule="auto"/>
        <w:ind w:firstLine="567"/>
        <w:jc w:val="both"/>
        <w:rPr>
          <w:rStyle w:val="hwtze"/>
          <w:rFonts w:ascii="Times New Roman" w:hAnsi="Times New Roman" w:cs="Times New Roman"/>
          <w:sz w:val="24"/>
          <w:szCs w:val="24"/>
          <w:lang w:val="en"/>
        </w:rPr>
      </w:pPr>
      <w:r w:rsidRPr="00362781">
        <w:rPr>
          <w:rStyle w:val="hwtze"/>
          <w:rFonts w:ascii="Times New Roman" w:hAnsi="Times New Roman" w:cs="Times New Roman"/>
          <w:sz w:val="24"/>
          <w:szCs w:val="24"/>
          <w:lang w:val="en"/>
        </w:rPr>
        <w:t xml:space="preserve">A significant gap exists in understanding how digital transformation and Incoterm selection jointly influence competitive advantage, particularly in developing country contexts. Most existing studies treat these dimensions separately, focusing either on technological factors or contractual aspects but not their interaction. Additionally, limited empirical evidence exists from freight forwarder perspectives, as most research emphasizes shipper or consignee viewpoints. The emerging market context presents unique challenges regarding technology </w:t>
      </w:r>
      <w:r w:rsidRPr="00362781">
        <w:rPr>
          <w:rStyle w:val="hwtze"/>
          <w:rFonts w:ascii="Times New Roman" w:hAnsi="Times New Roman" w:cs="Times New Roman"/>
          <w:sz w:val="24"/>
          <w:szCs w:val="24"/>
          <w:lang w:val="en"/>
        </w:rPr>
        <w:lastRenderedPageBreak/>
        <w:t>adoption capabilities, regulatory environments, and competitive pressures that differ substantially from developed economy settings, yet remain underexplored in the literature.</w:t>
      </w:r>
    </w:p>
    <w:p w14:paraId="26AE1D4B" w14:textId="20A2114C" w:rsidR="00554E27" w:rsidRPr="000004DB" w:rsidRDefault="00554E27" w:rsidP="00362781">
      <w:pPr>
        <w:spacing w:after="0" w:line="276" w:lineRule="auto"/>
        <w:ind w:firstLine="567"/>
        <w:jc w:val="both"/>
        <w:rPr>
          <w:rStyle w:val="hwtze"/>
          <w:rFonts w:ascii="Times New Roman" w:hAnsi="Times New Roman" w:cs="Times New Roman"/>
          <w:sz w:val="24"/>
          <w:szCs w:val="24"/>
          <w:lang w:val="en"/>
        </w:rPr>
      </w:pPr>
      <w:r w:rsidRPr="000004DB">
        <w:rPr>
          <w:rStyle w:val="hwtze"/>
          <w:rFonts w:ascii="Times New Roman" w:hAnsi="Times New Roman" w:cs="Times New Roman"/>
          <w:sz w:val="24"/>
          <w:szCs w:val="24"/>
          <w:lang w:val="en"/>
        </w:rPr>
        <w:t>This study aims to investigate the role of digital transformation and Incoterm selection in enhancing competitive advantage among Indonesian freight forwarders.</w:t>
      </w:r>
      <w:r w:rsidR="00FC6D9A" w:rsidRPr="000004DB">
        <w:rPr>
          <w:rStyle w:val="hwtze"/>
          <w:rFonts w:ascii="Times New Roman" w:hAnsi="Times New Roman" w:cs="Times New Roman"/>
          <w:sz w:val="24"/>
          <w:szCs w:val="24"/>
          <w:lang w:val="en"/>
        </w:rPr>
        <w:t xml:space="preserve"> </w:t>
      </w:r>
      <w:r w:rsidRPr="000004DB">
        <w:rPr>
          <w:rStyle w:val="hwtze"/>
          <w:rFonts w:ascii="Times New Roman" w:hAnsi="Times New Roman" w:cs="Times New Roman"/>
          <w:sz w:val="24"/>
          <w:szCs w:val="24"/>
          <w:lang w:val="en"/>
        </w:rPr>
        <w:t xml:space="preserve"> Specifically, it examines whether the adoption of digital tools (e-documentation, tracking, </w:t>
      </w:r>
      <w:r w:rsidR="00FC6D9A" w:rsidRPr="000004DB">
        <w:rPr>
          <w:rStyle w:val="hwtze"/>
          <w:rFonts w:ascii="Times New Roman" w:hAnsi="Times New Roman" w:cs="Times New Roman"/>
          <w:sz w:val="24"/>
          <w:szCs w:val="24"/>
          <w:lang w:val="en"/>
        </w:rPr>
        <w:t>and system integration) and strategic Incoterms choices (risk, cost, delivery responsibility, and</w:t>
      </w:r>
      <w:r w:rsidRPr="000004DB">
        <w:rPr>
          <w:rStyle w:val="hwtze"/>
          <w:rFonts w:ascii="Times New Roman" w:hAnsi="Times New Roman" w:cs="Times New Roman"/>
          <w:sz w:val="24"/>
          <w:szCs w:val="24"/>
          <w:lang w:val="en"/>
        </w:rPr>
        <w:t xml:space="preserve"> flexibility) significantly contribute to firms</w:t>
      </w:r>
      <w:r w:rsidR="00FC6D9A" w:rsidRPr="000004DB">
        <w:rPr>
          <w:rStyle w:val="hwtze"/>
          <w:rFonts w:ascii="Times New Roman" w:hAnsi="Times New Roman" w:cs="Times New Roman"/>
          <w:sz w:val="24"/>
          <w:szCs w:val="24"/>
          <w:lang w:val="en"/>
        </w:rPr>
        <w:t>'</w:t>
      </w:r>
      <w:r w:rsidRPr="000004DB">
        <w:rPr>
          <w:rStyle w:val="hwtze"/>
          <w:rFonts w:ascii="Times New Roman" w:hAnsi="Times New Roman" w:cs="Times New Roman"/>
          <w:sz w:val="24"/>
          <w:szCs w:val="24"/>
          <w:lang w:val="en"/>
        </w:rPr>
        <w:t xml:space="preserve"> competitive strengths.</w:t>
      </w:r>
      <w:r w:rsidR="00FC6D9A" w:rsidRPr="000004DB">
        <w:rPr>
          <w:rStyle w:val="hwtze"/>
          <w:rFonts w:ascii="Times New Roman" w:hAnsi="Times New Roman" w:cs="Times New Roman"/>
          <w:sz w:val="24"/>
          <w:szCs w:val="24"/>
          <w:lang w:val="en"/>
        </w:rPr>
        <w:t xml:space="preserve"> </w:t>
      </w:r>
      <w:r w:rsidRPr="000004DB">
        <w:rPr>
          <w:rStyle w:val="hwtze"/>
          <w:rFonts w:ascii="Times New Roman" w:hAnsi="Times New Roman" w:cs="Times New Roman"/>
          <w:sz w:val="24"/>
          <w:szCs w:val="24"/>
          <w:lang w:val="en"/>
        </w:rPr>
        <w:t xml:space="preserve"> The novelty of this study lies in its integration of digital transformation and Incoterm selection as complementary drivers of competitive advantage, an area rarely addressed in the logistics literature.</w:t>
      </w:r>
      <w:r w:rsidR="00FC6D9A" w:rsidRPr="000004DB">
        <w:rPr>
          <w:rStyle w:val="hwtze"/>
          <w:rFonts w:ascii="Times New Roman" w:hAnsi="Times New Roman" w:cs="Times New Roman"/>
          <w:sz w:val="24"/>
          <w:szCs w:val="24"/>
          <w:lang w:val="en"/>
        </w:rPr>
        <w:t xml:space="preserve"> </w:t>
      </w:r>
      <w:r w:rsidRPr="000004DB">
        <w:rPr>
          <w:rStyle w:val="hwtze"/>
          <w:rFonts w:ascii="Times New Roman" w:hAnsi="Times New Roman" w:cs="Times New Roman"/>
          <w:sz w:val="24"/>
          <w:szCs w:val="24"/>
          <w:lang w:val="en"/>
        </w:rPr>
        <w:t xml:space="preserve"> Empirically, the study provides evidence from 130 Indonesian freight forwarding companies, offering fresh insights into how firms in emerging markets leverage digital tools and contractual choices to sustain competitiveness.</w:t>
      </w:r>
      <w:r w:rsidR="00362781">
        <w:rPr>
          <w:rStyle w:val="hwtze"/>
          <w:rFonts w:ascii="Times New Roman" w:hAnsi="Times New Roman" w:cs="Times New Roman"/>
          <w:sz w:val="24"/>
          <w:szCs w:val="24"/>
          <w:lang w:val="en"/>
        </w:rPr>
        <w:t xml:space="preserve"> </w:t>
      </w:r>
      <w:r w:rsidR="00362781" w:rsidRPr="00362781">
        <w:rPr>
          <w:rStyle w:val="hwtze"/>
          <w:rFonts w:ascii="Times New Roman" w:hAnsi="Times New Roman" w:cs="Times New Roman"/>
          <w:sz w:val="24"/>
          <w:szCs w:val="24"/>
          <w:lang w:val="en"/>
        </w:rPr>
        <w:t>The research benefits include theoretical contributions to logistics literature through integrated analysis of technological and contractual factors, practical guidance for industry managers on strategic investment priorities, and policy insights for government agencies supporting logistics sector development in emerging markets</w:t>
      </w:r>
      <w:r w:rsidRPr="000004DB">
        <w:rPr>
          <w:rStyle w:val="hwtze"/>
          <w:rFonts w:ascii="Times New Roman" w:hAnsi="Times New Roman" w:cs="Times New Roman"/>
          <w:sz w:val="24"/>
          <w:szCs w:val="24"/>
          <w:lang w:val="en"/>
        </w:rPr>
        <w:t>.</w:t>
      </w:r>
    </w:p>
    <w:bookmarkEnd w:id="2"/>
    <w:p w14:paraId="1B2DE0B0" w14:textId="6C9DDDB7" w:rsidR="00EC3899" w:rsidRPr="000004DB" w:rsidRDefault="00D30348" w:rsidP="00AE1636">
      <w:pPr>
        <w:spacing w:after="0" w:line="276" w:lineRule="auto"/>
        <w:jc w:val="both"/>
        <w:rPr>
          <w:rFonts w:ascii="Times New Roman" w:hAnsi="Times New Roman" w:cs="Times New Roman"/>
          <w:sz w:val="24"/>
          <w:szCs w:val="24"/>
        </w:rPr>
      </w:pPr>
      <w:r w:rsidRPr="000004DB">
        <w:rPr>
          <w:rFonts w:ascii="Times New Roman" w:hAnsi="Times New Roman" w:cs="Times New Roman"/>
          <w:sz w:val="24"/>
          <w:szCs w:val="24"/>
        </w:rPr>
        <w:t xml:space="preserve"> </w:t>
      </w:r>
    </w:p>
    <w:p w14:paraId="4A118F49" w14:textId="7433153E" w:rsidR="00EC3899" w:rsidRPr="000004DB" w:rsidRDefault="00EC3899" w:rsidP="00AE1636">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Method</w:t>
      </w:r>
    </w:p>
    <w:p w14:paraId="1EB2CB13" w14:textId="306E91EA" w:rsidR="00382E5C" w:rsidRPr="000004DB" w:rsidRDefault="00382E5C" w:rsidP="00AE1636">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Research Design</w:t>
      </w:r>
    </w:p>
    <w:p w14:paraId="4C254C6D" w14:textId="6F78EE24" w:rsidR="00402720" w:rsidRPr="000004DB" w:rsidRDefault="00BB7BCD" w:rsidP="00362781">
      <w:pPr>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This study employs a quantitative and explanatory research design aimed at testing the causal relationships between </w:t>
      </w:r>
      <w:r w:rsidR="004A33AC" w:rsidRPr="000004DB">
        <w:rPr>
          <w:rFonts w:ascii="Times New Roman" w:hAnsi="Times New Roman" w:cs="Times New Roman"/>
          <w:sz w:val="24"/>
          <w:szCs w:val="24"/>
        </w:rPr>
        <w:t xml:space="preserve">Digital Transformation, </w:t>
      </w:r>
      <w:r w:rsidRPr="000004DB">
        <w:rPr>
          <w:rFonts w:ascii="Times New Roman" w:hAnsi="Times New Roman" w:cs="Times New Roman"/>
          <w:sz w:val="24"/>
          <w:szCs w:val="24"/>
        </w:rPr>
        <w:t>Incoterms selection</w:t>
      </w:r>
      <w:r w:rsidR="00FC6D9A" w:rsidRPr="000004DB">
        <w:rPr>
          <w:rFonts w:ascii="Times New Roman" w:hAnsi="Times New Roman" w:cs="Times New Roman"/>
          <w:sz w:val="24"/>
          <w:szCs w:val="24"/>
        </w:rPr>
        <w:t>,</w:t>
      </w:r>
      <w:r w:rsidR="004A33AC" w:rsidRPr="000004DB">
        <w:rPr>
          <w:rFonts w:ascii="Times New Roman" w:hAnsi="Times New Roman" w:cs="Times New Roman"/>
          <w:sz w:val="24"/>
          <w:szCs w:val="24"/>
        </w:rPr>
        <w:t xml:space="preserve"> and </w:t>
      </w:r>
      <w:r w:rsidRPr="000004DB">
        <w:rPr>
          <w:rFonts w:ascii="Times New Roman" w:hAnsi="Times New Roman" w:cs="Times New Roman"/>
          <w:sz w:val="24"/>
          <w:szCs w:val="24"/>
        </w:rPr>
        <w:t>Competitive Advantag</w:t>
      </w:r>
      <w:r w:rsidR="004A33AC" w:rsidRPr="000004DB">
        <w:rPr>
          <w:rFonts w:ascii="Times New Roman" w:hAnsi="Times New Roman" w:cs="Times New Roman"/>
          <w:sz w:val="24"/>
          <w:szCs w:val="24"/>
        </w:rPr>
        <w:t>e</w:t>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Data were collected through a structured survey questionnaire distributed to freight forwarding companies in Indonesia.</w:t>
      </w:r>
    </w:p>
    <w:p w14:paraId="4DF1D819" w14:textId="6AB0E309" w:rsidR="00BB7BCD" w:rsidRPr="000004DB" w:rsidRDefault="00BB7BCD" w:rsidP="00362781">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Population and Sample</w:t>
      </w:r>
    </w:p>
    <w:p w14:paraId="51FC2381" w14:textId="77777777" w:rsidR="00BB7BCD" w:rsidRPr="000004DB" w:rsidRDefault="00BB7BCD" w:rsidP="00362781">
      <w:pPr>
        <w:tabs>
          <w:tab w:val="left" w:pos="426"/>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The population of this study </w:t>
      </w:r>
      <w:r w:rsidR="00FC6D9A" w:rsidRPr="000004DB">
        <w:rPr>
          <w:rFonts w:ascii="Times New Roman" w:hAnsi="Times New Roman" w:cs="Times New Roman"/>
          <w:sz w:val="24"/>
          <w:szCs w:val="24"/>
        </w:rPr>
        <w:t>consists of freight forwarding companies operating in Indonesia, which are</w:t>
      </w:r>
      <w:r w:rsidRPr="000004DB">
        <w:rPr>
          <w:rFonts w:ascii="Times New Roman" w:hAnsi="Times New Roman" w:cs="Times New Roman"/>
          <w:sz w:val="24"/>
          <w:szCs w:val="24"/>
        </w:rPr>
        <w:t xml:space="preserve"> registered with </w:t>
      </w:r>
      <w:r w:rsidR="00453D9D" w:rsidRPr="000004DB">
        <w:rPr>
          <w:rFonts w:ascii="Times New Roman" w:hAnsi="Times New Roman" w:cs="Times New Roman"/>
          <w:sz w:val="24"/>
          <w:szCs w:val="24"/>
        </w:rPr>
        <w:t xml:space="preserve">the </w:t>
      </w:r>
      <w:r w:rsidRPr="000004DB">
        <w:rPr>
          <w:rFonts w:ascii="Times New Roman" w:hAnsi="Times New Roman" w:cs="Times New Roman"/>
          <w:sz w:val="24"/>
          <w:szCs w:val="24"/>
        </w:rPr>
        <w:t>Indonesian Logistics and Forwarders Association (ALFI/ILFA).</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Respondents co</w:t>
      </w:r>
      <w:r w:rsidR="00FC6D9A" w:rsidRPr="000004DB">
        <w:rPr>
          <w:rFonts w:ascii="Times New Roman" w:hAnsi="Times New Roman" w:cs="Times New Roman"/>
          <w:sz w:val="24"/>
          <w:szCs w:val="24"/>
        </w:rPr>
        <w:t>mprised</w:t>
      </w:r>
      <w:r w:rsidRPr="000004DB">
        <w:rPr>
          <w:rFonts w:ascii="Times New Roman" w:hAnsi="Times New Roman" w:cs="Times New Roman"/>
          <w:sz w:val="24"/>
          <w:szCs w:val="24"/>
        </w:rPr>
        <w:t xml:space="preserve"> managers, supervisors, and operational staff directly involved in international trade documentation, logistics operations, and HR development.</w:t>
      </w:r>
    </w:p>
    <w:p w14:paraId="50EADF55" w14:textId="77777777" w:rsidR="00BB7BCD" w:rsidRPr="000004DB" w:rsidRDefault="00BB7BCD" w:rsidP="00362781">
      <w:pPr>
        <w:tabs>
          <w:tab w:val="left" w:pos="426"/>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The sampling technique uses purposive sampling, selecting respondents with relevant knowledge of Incoterms decision-making and logistics operations.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A total of </w:t>
      </w:r>
      <w:r w:rsidR="004A33AC" w:rsidRPr="000004DB">
        <w:rPr>
          <w:rFonts w:ascii="Times New Roman" w:hAnsi="Times New Roman" w:cs="Times New Roman"/>
          <w:sz w:val="24"/>
          <w:szCs w:val="24"/>
        </w:rPr>
        <w:t>130</w:t>
      </w:r>
      <w:r w:rsidRPr="000004DB">
        <w:rPr>
          <w:rFonts w:ascii="Times New Roman" w:hAnsi="Times New Roman" w:cs="Times New Roman"/>
          <w:sz w:val="24"/>
          <w:szCs w:val="24"/>
        </w:rPr>
        <w:t xml:space="preserve"> valid responses were obtained.</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sample size exceeds the minimum requirement for Partial Least Squares Structural Equation </w:t>
      </w:r>
      <w:proofErr w:type="spellStart"/>
      <w:r w:rsidRPr="000004DB">
        <w:rPr>
          <w:rFonts w:ascii="Times New Roman" w:hAnsi="Times New Roman" w:cs="Times New Roman"/>
          <w:sz w:val="24"/>
          <w:szCs w:val="24"/>
        </w:rPr>
        <w:t>Modeling</w:t>
      </w:r>
      <w:proofErr w:type="spellEnd"/>
      <w:r w:rsidRPr="000004DB">
        <w:rPr>
          <w:rFonts w:ascii="Times New Roman" w:hAnsi="Times New Roman" w:cs="Times New Roman"/>
          <w:sz w:val="24"/>
          <w:szCs w:val="24"/>
        </w:rPr>
        <w:t xml:space="preserve"> (PLS-SEM), which recommends at least 10 times the number of indicators of the most complex construct </w:t>
      </w:r>
      <w:r w:rsidRPr="000004DB">
        <w:rPr>
          <w:rFonts w:ascii="Times New Roman" w:hAnsi="Times New Roman" w:cs="Times New Roman"/>
          <w:sz w:val="24"/>
          <w:szCs w:val="24"/>
        </w:rPr>
        <w:fldChar w:fldCharType="begin" w:fldLock="1"/>
      </w:r>
      <w:r w:rsidR="00FE598F" w:rsidRPr="000004DB">
        <w:rPr>
          <w:rFonts w:ascii="Times New Roman" w:hAnsi="Times New Roman" w:cs="Times New Roman"/>
          <w:sz w:val="24"/>
          <w:szCs w:val="24"/>
        </w:rPr>
        <w:instrText>ADDIN CSL_CITATION {"citationItems":[{"id":"ITEM-1","itemData":{"ISBN":"1292035110","author":[{"dropping-particle":"","family":"Hair","given":"Joseph F","non-dropping-particle":"","parse-names":false,"suffix":""},{"dropping-particle":"","family":"Black","given":"William C","non-dropping-particle":"","parse-names":false,"suffix":""},{"dropping-particle":"","family":"Babin","given":"Barry J","non-dropping-particle":"","parse-names":false,"suffix":""},{"dropping-particle":"","family":"Anderson","given":"Rolph E","non-dropping-particle":"","parse-names":false,"suffix":""}],"id":"ITEM-1","issued":{"date-parts":[["2013"]]},"publisher":"Pearson Higher Ed","title":"Multivariate data analysis: Pearson new international edition PDF eBook","type":"book"},"uris":["http://www.mendeley.com/documents/?uuid=cada7dc9-2fa1-47a2-8023-0e469912df61"]}],"mendeley":{"formattedCitation":"(Hair et al., 2013)","plainTextFormattedCitation":"(Hair et al., 2013)","previouslyFormattedCitation":"(Hair et al., 2013)"},"properties":{"noteIndex":0},"schema":"https://github.com/citation-style-language/schema/raw/master/csl-citation.json"}</w:instrText>
      </w:r>
      <w:r w:rsidRPr="000004DB">
        <w:rPr>
          <w:rFonts w:ascii="Times New Roman" w:hAnsi="Times New Roman" w:cs="Times New Roman"/>
          <w:sz w:val="24"/>
          <w:szCs w:val="24"/>
        </w:rPr>
        <w:fldChar w:fldCharType="separate"/>
      </w:r>
      <w:r w:rsidRPr="000004DB">
        <w:rPr>
          <w:rFonts w:ascii="Times New Roman" w:hAnsi="Times New Roman" w:cs="Times New Roman"/>
          <w:noProof/>
          <w:sz w:val="24"/>
          <w:szCs w:val="24"/>
        </w:rPr>
        <w:t>(Hair et al., 2013)</w:t>
      </w:r>
      <w:r w:rsidRPr="000004DB">
        <w:rPr>
          <w:rFonts w:ascii="Times New Roman" w:hAnsi="Times New Roman" w:cs="Times New Roman"/>
          <w:sz w:val="24"/>
          <w:szCs w:val="24"/>
        </w:rPr>
        <w:fldChar w:fldCharType="end"/>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With </w:t>
      </w:r>
      <w:r w:rsidR="00453D9D" w:rsidRPr="000004DB">
        <w:rPr>
          <w:rFonts w:ascii="Times New Roman" w:hAnsi="Times New Roman" w:cs="Times New Roman"/>
          <w:sz w:val="24"/>
          <w:szCs w:val="24"/>
        </w:rPr>
        <w:t>five</w:t>
      </w:r>
      <w:r w:rsidRPr="000004DB">
        <w:rPr>
          <w:rFonts w:ascii="Times New Roman" w:hAnsi="Times New Roman" w:cs="Times New Roman"/>
          <w:sz w:val="24"/>
          <w:szCs w:val="24"/>
        </w:rPr>
        <w:t xml:space="preserve"> indicators per construct, the minimum required was 50 responses</w:t>
      </w:r>
      <w:r w:rsidR="00453D9D" w:rsidRPr="000004DB">
        <w:rPr>
          <w:rFonts w:ascii="Times New Roman" w:hAnsi="Times New Roman" w:cs="Times New Roman"/>
          <w:sz w:val="24"/>
          <w:szCs w:val="24"/>
        </w:rPr>
        <w:t>;</w:t>
      </w:r>
      <w:r w:rsidRPr="000004DB">
        <w:rPr>
          <w:rFonts w:ascii="Times New Roman" w:hAnsi="Times New Roman" w:cs="Times New Roman"/>
          <w:sz w:val="24"/>
          <w:szCs w:val="24"/>
        </w:rPr>
        <w:t xml:space="preserve"> thus</w:t>
      </w:r>
      <w:r w:rsidR="00453D9D" w:rsidRPr="000004DB">
        <w:rPr>
          <w:rFonts w:ascii="Times New Roman" w:hAnsi="Times New Roman" w:cs="Times New Roman"/>
          <w:sz w:val="24"/>
          <w:szCs w:val="24"/>
        </w:rPr>
        <w:t>,</w:t>
      </w:r>
      <w:r w:rsidRPr="000004DB">
        <w:rPr>
          <w:rFonts w:ascii="Times New Roman" w:hAnsi="Times New Roman" w:cs="Times New Roman"/>
          <w:sz w:val="24"/>
          <w:szCs w:val="24"/>
        </w:rPr>
        <w:t xml:space="preserve"> the 1</w:t>
      </w:r>
      <w:r w:rsidR="004A33AC" w:rsidRPr="000004DB">
        <w:rPr>
          <w:rFonts w:ascii="Times New Roman" w:hAnsi="Times New Roman" w:cs="Times New Roman"/>
          <w:sz w:val="24"/>
          <w:szCs w:val="24"/>
        </w:rPr>
        <w:t>30</w:t>
      </w:r>
      <w:r w:rsidRPr="000004DB">
        <w:rPr>
          <w:rFonts w:ascii="Times New Roman" w:hAnsi="Times New Roman" w:cs="Times New Roman"/>
          <w:sz w:val="24"/>
          <w:szCs w:val="24"/>
        </w:rPr>
        <w:t xml:space="preserve"> responses are considered sufficient for robust statistical analysis.</w:t>
      </w:r>
    </w:p>
    <w:p w14:paraId="5D86A70E" w14:textId="12420DCD" w:rsidR="00BB7BCD" w:rsidRPr="000004DB" w:rsidRDefault="00BB7BCD" w:rsidP="00362781">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Data Collection</w:t>
      </w:r>
    </w:p>
    <w:p w14:paraId="11C3A280" w14:textId="77777777" w:rsidR="00BB7BCD" w:rsidRDefault="00BB7BCD" w:rsidP="00362781">
      <w:pPr>
        <w:tabs>
          <w:tab w:val="left" w:pos="426"/>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Data collection was conducted via an online survey (Google Forms) distributed through professional associations, logistics networks, and direct email invitations.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Respondents were asked to rate each indicator using a five-point Likert scale (1 = strongly disagree to 5 = strongly agree).</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To ensure content validity, the questionnaire was reviewed by two academics in international trade/logistics and two industry practitioners.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A pilot test with 20 respondents confirmed clarity and reliability before the full-scale survey distribution.</w:t>
      </w:r>
    </w:p>
    <w:p w14:paraId="09263514" w14:textId="77777777" w:rsidR="003817F9" w:rsidRDefault="003817F9" w:rsidP="00362781">
      <w:pPr>
        <w:tabs>
          <w:tab w:val="left" w:pos="426"/>
        </w:tabs>
        <w:spacing w:after="0" w:line="276" w:lineRule="auto"/>
        <w:ind w:firstLine="567"/>
        <w:jc w:val="both"/>
        <w:rPr>
          <w:rFonts w:ascii="Times New Roman" w:hAnsi="Times New Roman" w:cs="Times New Roman"/>
          <w:sz w:val="24"/>
          <w:szCs w:val="24"/>
        </w:rPr>
      </w:pPr>
    </w:p>
    <w:p w14:paraId="320521BC" w14:textId="77777777" w:rsidR="003817F9" w:rsidRPr="000004DB" w:rsidRDefault="003817F9" w:rsidP="00362781">
      <w:pPr>
        <w:tabs>
          <w:tab w:val="left" w:pos="426"/>
        </w:tabs>
        <w:spacing w:after="0" w:line="276" w:lineRule="auto"/>
        <w:ind w:firstLine="567"/>
        <w:jc w:val="both"/>
        <w:rPr>
          <w:rFonts w:ascii="Times New Roman" w:hAnsi="Times New Roman" w:cs="Times New Roman"/>
          <w:sz w:val="24"/>
          <w:szCs w:val="24"/>
        </w:rPr>
      </w:pPr>
    </w:p>
    <w:p w14:paraId="193DB6E2" w14:textId="290A82A2" w:rsidR="00BB7BCD" w:rsidRPr="000004DB" w:rsidRDefault="00BB7BCD" w:rsidP="00362781">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lastRenderedPageBreak/>
        <w:t>Measur</w:t>
      </w:r>
      <w:r w:rsidR="00453D9D" w:rsidRPr="000004DB">
        <w:rPr>
          <w:rFonts w:ascii="Times New Roman" w:hAnsi="Times New Roman" w:cs="Times New Roman"/>
          <w:b/>
          <w:bCs/>
          <w:sz w:val="24"/>
          <w:szCs w:val="24"/>
        </w:rPr>
        <w:t>e</w:t>
      </w:r>
      <w:r w:rsidRPr="000004DB">
        <w:rPr>
          <w:rFonts w:ascii="Times New Roman" w:hAnsi="Times New Roman" w:cs="Times New Roman"/>
          <w:b/>
          <w:bCs/>
          <w:sz w:val="24"/>
          <w:szCs w:val="24"/>
        </w:rPr>
        <w:t>ment of Variable</w:t>
      </w:r>
    </w:p>
    <w:p w14:paraId="6F9DC049" w14:textId="77777777" w:rsidR="00E54215" w:rsidRPr="000004DB" w:rsidRDefault="00E54215" w:rsidP="00362781">
      <w:pPr>
        <w:tabs>
          <w:tab w:val="left" w:pos="426"/>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To test the relationship between variables in this research model, each construct is measured using </w:t>
      </w:r>
      <w:r w:rsidR="00453D9D" w:rsidRPr="000004DB">
        <w:rPr>
          <w:rFonts w:ascii="Times New Roman" w:hAnsi="Times New Roman" w:cs="Times New Roman"/>
          <w:sz w:val="24"/>
          <w:szCs w:val="24"/>
        </w:rPr>
        <w:t>several</w:t>
      </w:r>
      <w:r w:rsidRPr="000004DB">
        <w:rPr>
          <w:rFonts w:ascii="Times New Roman" w:hAnsi="Times New Roman" w:cs="Times New Roman"/>
          <w:sz w:val="24"/>
          <w:szCs w:val="24"/>
        </w:rPr>
        <w:t xml:space="preserve"> indicators </w:t>
      </w:r>
      <w:r w:rsidR="00FC6D9A" w:rsidRPr="000004DB">
        <w:rPr>
          <w:rFonts w:ascii="Times New Roman" w:hAnsi="Times New Roman" w:cs="Times New Roman"/>
          <w:sz w:val="24"/>
          <w:szCs w:val="24"/>
        </w:rPr>
        <w:t>adapted from previous literature and tailor</w:t>
      </w:r>
      <w:r w:rsidRPr="000004DB">
        <w:rPr>
          <w:rFonts w:ascii="Times New Roman" w:hAnsi="Times New Roman" w:cs="Times New Roman"/>
          <w:sz w:val="24"/>
          <w:szCs w:val="24"/>
        </w:rPr>
        <w:t>ed to the context of the freight forwarding industry in Indonesia.</w:t>
      </w:r>
      <w:r w:rsidR="00FC6D9A" w:rsidRPr="000004DB">
        <w:rPr>
          <w:rFonts w:ascii="Times New Roman" w:hAnsi="Times New Roman" w:cs="Times New Roman"/>
          <w:sz w:val="24"/>
          <w:szCs w:val="24"/>
        </w:rPr>
        <w:t xml:space="preserve"> </w:t>
      </w:r>
      <w:r w:rsidR="00EB090F" w:rsidRPr="000004DB">
        <w:rPr>
          <w:rFonts w:ascii="Times New Roman" w:hAnsi="Times New Roman" w:cs="Times New Roman"/>
          <w:sz w:val="24"/>
          <w:szCs w:val="24"/>
        </w:rPr>
        <w:t xml:space="preserve"> Digital transformation in this study is measured through three </w:t>
      </w:r>
      <w:r w:rsidR="00FC6D9A" w:rsidRPr="000004DB">
        <w:rPr>
          <w:rFonts w:ascii="Times New Roman" w:hAnsi="Times New Roman" w:cs="Times New Roman"/>
          <w:sz w:val="24"/>
          <w:szCs w:val="24"/>
        </w:rPr>
        <w:t>leading</w:t>
      </w:r>
      <w:r w:rsidR="00EB090F" w:rsidRPr="000004DB">
        <w:rPr>
          <w:rFonts w:ascii="Times New Roman" w:hAnsi="Times New Roman" w:cs="Times New Roman"/>
          <w:sz w:val="24"/>
          <w:szCs w:val="24"/>
        </w:rPr>
        <w:t xml:space="preserve"> indicators: the use of e-documentation, real-time tracking and visibility, and system integration and automation.</w:t>
      </w:r>
      <w:r w:rsidR="00FC6D9A" w:rsidRPr="000004DB">
        <w:rPr>
          <w:rFonts w:ascii="Times New Roman" w:hAnsi="Times New Roman" w:cs="Times New Roman"/>
          <w:sz w:val="24"/>
          <w:szCs w:val="24"/>
        </w:rPr>
        <w:t xml:space="preserve"> </w:t>
      </w:r>
      <w:r w:rsidR="00EB090F" w:rsidRPr="000004DB">
        <w:rPr>
          <w:rFonts w:ascii="Times New Roman" w:hAnsi="Times New Roman" w:cs="Times New Roman"/>
          <w:sz w:val="24"/>
          <w:szCs w:val="24"/>
        </w:rPr>
        <w:t xml:space="preserve"> These three aspects were chosen because they represent the core digitalization processes in freight forwarding, </w:t>
      </w:r>
      <w:r w:rsidR="00FC6D9A" w:rsidRPr="000004DB">
        <w:rPr>
          <w:rFonts w:ascii="Times New Roman" w:hAnsi="Times New Roman" w:cs="Times New Roman"/>
          <w:sz w:val="24"/>
          <w:szCs w:val="24"/>
        </w:rPr>
        <w:t>encompassing administration and customer service, as well as</w:t>
      </w:r>
      <w:r w:rsidR="00EB090F" w:rsidRPr="000004DB">
        <w:rPr>
          <w:rFonts w:ascii="Times New Roman" w:hAnsi="Times New Roman" w:cs="Times New Roman"/>
          <w:sz w:val="24"/>
          <w:szCs w:val="24"/>
        </w:rPr>
        <w:t xml:space="preserve"> operational efficiency.</w:t>
      </w:r>
      <w:r w:rsidR="00FC6D9A" w:rsidRPr="000004DB">
        <w:rPr>
          <w:rFonts w:ascii="Times New Roman" w:hAnsi="Times New Roman" w:cs="Times New Roman"/>
          <w:sz w:val="24"/>
          <w:szCs w:val="24"/>
        </w:rPr>
        <w:t xml:space="preserve"> </w:t>
      </w:r>
      <w:r w:rsidR="00EB090F"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Incoterm selection indicators </w:t>
      </w:r>
      <w:r w:rsidR="00FC6D9A" w:rsidRPr="000004DB">
        <w:rPr>
          <w:rFonts w:ascii="Times New Roman" w:hAnsi="Times New Roman" w:cs="Times New Roman"/>
          <w:sz w:val="24"/>
          <w:szCs w:val="24"/>
        </w:rPr>
        <w:t>include: considering risk and responsibility</w:t>
      </w:r>
      <w:r w:rsidRPr="000004DB">
        <w:rPr>
          <w:rFonts w:ascii="Times New Roman" w:hAnsi="Times New Roman" w:cs="Times New Roman"/>
          <w:sz w:val="24"/>
          <w:szCs w:val="24"/>
        </w:rPr>
        <w:t xml:space="preserve"> in Incoterms selection, </w:t>
      </w:r>
      <w:r w:rsidR="00FC6D9A" w:rsidRPr="000004DB">
        <w:rPr>
          <w:rFonts w:ascii="Times New Roman" w:hAnsi="Times New Roman" w:cs="Times New Roman"/>
          <w:sz w:val="24"/>
          <w:szCs w:val="24"/>
        </w:rPr>
        <w:t>s</w:t>
      </w:r>
      <w:r w:rsidRPr="000004DB">
        <w:rPr>
          <w:rFonts w:ascii="Times New Roman" w:hAnsi="Times New Roman" w:cs="Times New Roman"/>
          <w:sz w:val="24"/>
          <w:szCs w:val="24"/>
        </w:rPr>
        <w:t xml:space="preserve">electing terms that benefit company positioning, </w:t>
      </w:r>
      <w:r w:rsidR="00453D9D" w:rsidRPr="000004DB">
        <w:rPr>
          <w:rFonts w:ascii="Times New Roman" w:hAnsi="Times New Roman" w:cs="Times New Roman"/>
          <w:sz w:val="24"/>
          <w:szCs w:val="24"/>
        </w:rPr>
        <w:t xml:space="preserve">and </w:t>
      </w:r>
      <w:r w:rsidRPr="000004DB">
        <w:rPr>
          <w:rFonts w:ascii="Times New Roman" w:hAnsi="Times New Roman" w:cs="Times New Roman"/>
          <w:sz w:val="24"/>
          <w:szCs w:val="24"/>
        </w:rPr>
        <w:t>Effective negotiation with trade partners.</w:t>
      </w:r>
      <w:r w:rsidR="00FC6D9A"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 xml:space="preserve"> </w:t>
      </w:r>
      <w:r w:rsidRPr="000004DB">
        <w:rPr>
          <w:rFonts w:ascii="Times New Roman" w:hAnsi="Times New Roman" w:cs="Times New Roman"/>
          <w:sz w:val="24"/>
          <w:szCs w:val="24"/>
        </w:rPr>
        <w:t>Competitive advantage indicators are as follows: Cost leadership, Superior Customer services, Innovative marketing, Differentiation, Technology and Improvement.</w:t>
      </w:r>
    </w:p>
    <w:p w14:paraId="11E6959A" w14:textId="31B822F5" w:rsidR="00BB7BCD" w:rsidRPr="000004DB" w:rsidRDefault="00FE598F" w:rsidP="00362781">
      <w:pPr>
        <w:tabs>
          <w:tab w:val="left" w:pos="426"/>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Data Analysis</w:t>
      </w:r>
    </w:p>
    <w:p w14:paraId="5605E9C5" w14:textId="77777777" w:rsidR="00BB7BCD" w:rsidRPr="000004DB" w:rsidRDefault="00FE598F" w:rsidP="00362781">
      <w:pPr>
        <w:tabs>
          <w:tab w:val="left" w:pos="426"/>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The data were </w:t>
      </w:r>
      <w:proofErr w:type="spellStart"/>
      <w:r w:rsidRPr="000004DB">
        <w:rPr>
          <w:rFonts w:ascii="Times New Roman" w:hAnsi="Times New Roman" w:cs="Times New Roman"/>
          <w:sz w:val="24"/>
          <w:szCs w:val="24"/>
        </w:rPr>
        <w:t>analyzed</w:t>
      </w:r>
      <w:proofErr w:type="spellEnd"/>
      <w:r w:rsidRPr="000004DB">
        <w:rPr>
          <w:rFonts w:ascii="Times New Roman" w:hAnsi="Times New Roman" w:cs="Times New Roman"/>
          <w:sz w:val="24"/>
          <w:szCs w:val="24"/>
        </w:rPr>
        <w:t xml:space="preserve"> using Partial Least Squares Structural Equation </w:t>
      </w:r>
      <w:proofErr w:type="spellStart"/>
      <w:r w:rsidRPr="000004DB">
        <w:rPr>
          <w:rFonts w:ascii="Times New Roman" w:hAnsi="Times New Roman" w:cs="Times New Roman"/>
          <w:sz w:val="24"/>
          <w:szCs w:val="24"/>
        </w:rPr>
        <w:t>Modeling</w:t>
      </w:r>
      <w:proofErr w:type="spellEnd"/>
      <w:r w:rsidRPr="000004DB">
        <w:rPr>
          <w:rFonts w:ascii="Times New Roman" w:hAnsi="Times New Roman" w:cs="Times New Roman"/>
          <w:sz w:val="24"/>
          <w:szCs w:val="24"/>
        </w:rPr>
        <w:t xml:space="preserve"> (PLS-SEM) with the </w:t>
      </w:r>
      <w:proofErr w:type="spellStart"/>
      <w:r w:rsidRPr="000004DB">
        <w:rPr>
          <w:rFonts w:ascii="Times New Roman" w:hAnsi="Times New Roman" w:cs="Times New Roman"/>
          <w:sz w:val="24"/>
          <w:szCs w:val="24"/>
        </w:rPr>
        <w:t>SmartPLS</w:t>
      </w:r>
      <w:proofErr w:type="spellEnd"/>
      <w:r w:rsidRPr="000004DB">
        <w:rPr>
          <w:rFonts w:ascii="Times New Roman" w:hAnsi="Times New Roman" w:cs="Times New Roman"/>
          <w:sz w:val="24"/>
          <w:szCs w:val="24"/>
        </w:rPr>
        <w:t xml:space="preserve"> software.</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PLS-SEM was chosen because it is suitable for exploratory research, complex models with latent variables, and does not require multivariate normality assumptions </w:t>
      </w:r>
      <w:r w:rsidRPr="000004DB">
        <w:rPr>
          <w:rFonts w:ascii="Times New Roman" w:hAnsi="Times New Roman" w:cs="Times New Roman"/>
          <w:sz w:val="24"/>
          <w:szCs w:val="24"/>
        </w:rPr>
        <w:fldChar w:fldCharType="begin" w:fldLock="1"/>
      </w:r>
      <w:r w:rsidR="00FB0A18" w:rsidRPr="000004DB">
        <w:rPr>
          <w:rFonts w:ascii="Times New Roman" w:hAnsi="Times New Roman" w:cs="Times New Roman"/>
          <w:sz w:val="24"/>
          <w:szCs w:val="24"/>
        </w:rPr>
        <w:instrText>ADDIN CSL_CITATION {"citationItems":[{"id":"ITEM-1","itemData":{"ISBN":"1452217440","author":[{"dropping-particle":"","family":"Hair","given":"Joseph F","non-dropping-particle":"","parse-names":false,"suffix":""}],"id":"ITEM-1","issued":{"date-parts":[["2014"]]},"publisher":"sage","title":"A primer on partial least squares structural equation modeling (PLS-SEM)","type":"book"},"uris":["http://www.mendeley.com/documents/?uuid=8dfbf64e-206a-43a5-8a7b-069cac8a3406"]}],"mendeley":{"formattedCitation":"(Hair, 2014)","plainTextFormattedCitation":"(Hair, 2014)","previouslyFormattedCitation":"(Hair, 2014)"},"properties":{"noteIndex":0},"schema":"https://github.com/citation-style-language/schema/raw/master/csl-citation.json"}</w:instrText>
      </w:r>
      <w:r w:rsidRPr="000004DB">
        <w:rPr>
          <w:rFonts w:ascii="Times New Roman" w:hAnsi="Times New Roman" w:cs="Times New Roman"/>
          <w:sz w:val="24"/>
          <w:szCs w:val="24"/>
        </w:rPr>
        <w:fldChar w:fldCharType="separate"/>
      </w:r>
      <w:r w:rsidRPr="000004DB">
        <w:rPr>
          <w:rFonts w:ascii="Times New Roman" w:hAnsi="Times New Roman" w:cs="Times New Roman"/>
          <w:noProof/>
          <w:sz w:val="24"/>
          <w:szCs w:val="24"/>
        </w:rPr>
        <w:t>(Hair, 2014)</w:t>
      </w:r>
      <w:r w:rsidRPr="000004DB">
        <w:rPr>
          <w:rFonts w:ascii="Times New Roman" w:hAnsi="Times New Roman" w:cs="Times New Roman"/>
          <w:sz w:val="24"/>
          <w:szCs w:val="24"/>
        </w:rPr>
        <w:fldChar w:fldCharType="end"/>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The analysis procedure includes: Outer Model Assessment: convergent validity (factor loading, AVE), discriminant validity (Fornell–Larcker, HTMT), and reliability (Cronbach's Alpha, Composite Reliability).</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Inner Model Assessment: path coefficients and R².</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Hypothesis Testing: using bootstrapping to test the significance of path coefficients (t-statistics and p-values).</w:t>
      </w:r>
    </w:p>
    <w:p w14:paraId="2E276A11" w14:textId="77777777" w:rsidR="00362781" w:rsidRDefault="00362781" w:rsidP="00AE1636">
      <w:pPr>
        <w:tabs>
          <w:tab w:val="left" w:pos="426"/>
        </w:tabs>
        <w:spacing w:after="0" w:line="276" w:lineRule="auto"/>
        <w:jc w:val="center"/>
        <w:rPr>
          <w:rFonts w:ascii="Times New Roman" w:hAnsi="Times New Roman" w:cs="Times New Roman"/>
          <w:sz w:val="24"/>
          <w:szCs w:val="24"/>
        </w:rPr>
      </w:pPr>
    </w:p>
    <w:p w14:paraId="6767C1B2" w14:textId="04BC01C7" w:rsidR="00362781" w:rsidRDefault="00362781" w:rsidP="00AE1636">
      <w:pPr>
        <w:tabs>
          <w:tab w:val="left" w:pos="426"/>
        </w:tabs>
        <w:spacing w:after="0" w:line="276" w:lineRule="auto"/>
        <w:jc w:val="center"/>
        <w:rPr>
          <w:rFonts w:ascii="Times New Roman" w:hAnsi="Times New Roman" w:cs="Times New Roman"/>
          <w:sz w:val="24"/>
          <w:szCs w:val="24"/>
        </w:rPr>
      </w:pPr>
      <w:r w:rsidRPr="000004DB">
        <w:rPr>
          <w:rFonts w:ascii="Times New Roman" w:hAnsi="Times New Roman" w:cs="Times New Roman"/>
          <w:noProof/>
          <w:sz w:val="24"/>
          <w:szCs w:val="24"/>
        </w:rPr>
        <w:drawing>
          <wp:inline distT="0" distB="0" distL="0" distR="0" wp14:anchorId="3B9CD462" wp14:editId="768E1DD0">
            <wp:extent cx="2864485" cy="2060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7031" cy="2069100"/>
                    </a:xfrm>
                    <a:prstGeom prst="rect">
                      <a:avLst/>
                    </a:prstGeom>
                  </pic:spPr>
                </pic:pic>
              </a:graphicData>
            </a:graphic>
          </wp:inline>
        </w:drawing>
      </w:r>
    </w:p>
    <w:p w14:paraId="3BE60694" w14:textId="3EF2104A" w:rsidR="00402720" w:rsidRPr="000004DB" w:rsidRDefault="00402720" w:rsidP="00AE1636">
      <w:pPr>
        <w:tabs>
          <w:tab w:val="left" w:pos="426"/>
        </w:tabs>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Figure 1 shows a summary of the structure of the proposed model.</w:t>
      </w:r>
    </w:p>
    <w:p w14:paraId="7E40C95B" w14:textId="206E34F3" w:rsidR="006B3DC6" w:rsidRPr="000004DB" w:rsidRDefault="006B3DC6" w:rsidP="00362781">
      <w:pPr>
        <w:tabs>
          <w:tab w:val="left" w:pos="426"/>
        </w:tabs>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Source: Printout PLS,2025</w:t>
      </w:r>
    </w:p>
    <w:p w14:paraId="660F0FE5" w14:textId="77777777" w:rsidR="00B640A2" w:rsidRPr="000004DB" w:rsidRDefault="00B640A2" w:rsidP="00AE1636">
      <w:pPr>
        <w:tabs>
          <w:tab w:val="left" w:pos="284"/>
        </w:tabs>
        <w:spacing w:after="0" w:line="276" w:lineRule="auto"/>
        <w:jc w:val="both"/>
        <w:rPr>
          <w:rFonts w:ascii="Times New Roman" w:hAnsi="Times New Roman" w:cs="Times New Roman"/>
          <w:b/>
          <w:bCs/>
          <w:sz w:val="24"/>
          <w:szCs w:val="24"/>
        </w:rPr>
      </w:pPr>
    </w:p>
    <w:p w14:paraId="1679A784" w14:textId="0863570C" w:rsidR="006A25FF" w:rsidRPr="00DB63C8" w:rsidRDefault="000746E5" w:rsidP="00AE1636">
      <w:pPr>
        <w:tabs>
          <w:tab w:val="left" w:pos="284"/>
        </w:tabs>
        <w:spacing w:after="0" w:line="276" w:lineRule="auto"/>
        <w:jc w:val="both"/>
        <w:rPr>
          <w:rFonts w:ascii="Times New Roman" w:hAnsi="Times New Roman" w:cs="Times New Roman"/>
          <w:b/>
          <w:bCs/>
          <w:sz w:val="24"/>
          <w:szCs w:val="24"/>
        </w:rPr>
      </w:pPr>
      <w:r w:rsidRPr="00DB63C8">
        <w:rPr>
          <w:rFonts w:ascii="Times New Roman" w:hAnsi="Times New Roman" w:cs="Times New Roman"/>
          <w:b/>
          <w:bCs/>
          <w:sz w:val="24"/>
          <w:szCs w:val="24"/>
        </w:rPr>
        <w:t xml:space="preserve">Result dan </w:t>
      </w:r>
      <w:proofErr w:type="spellStart"/>
      <w:r w:rsidRPr="00DB63C8">
        <w:rPr>
          <w:rFonts w:ascii="Times New Roman" w:hAnsi="Times New Roman" w:cs="Times New Roman"/>
          <w:b/>
          <w:bCs/>
          <w:sz w:val="24"/>
          <w:szCs w:val="24"/>
        </w:rPr>
        <w:t>Disscusion</w:t>
      </w:r>
      <w:proofErr w:type="spellEnd"/>
    </w:p>
    <w:p w14:paraId="541C3C4F" w14:textId="4C999F8B" w:rsidR="003D22BD" w:rsidRPr="00362781" w:rsidRDefault="00B81F51" w:rsidP="00AE1636">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Convergent Validity Test</w:t>
      </w:r>
      <w:r w:rsidR="000852E4" w:rsidRPr="00362781">
        <w:rPr>
          <w:rFonts w:ascii="Times New Roman" w:hAnsi="Times New Roman" w:cs="Times New Roman"/>
          <w:b/>
          <w:bCs/>
          <w:sz w:val="24"/>
          <w:szCs w:val="24"/>
        </w:rPr>
        <w:t>ing</w:t>
      </w:r>
    </w:p>
    <w:p w14:paraId="5A4275DE" w14:textId="77777777" w:rsidR="00EE1B21" w:rsidRDefault="000D4826" w:rsidP="00AE1636">
      <w:pPr>
        <w:tabs>
          <w:tab w:val="left" w:pos="1134"/>
        </w:tabs>
        <w:spacing w:after="0" w:line="276" w:lineRule="auto"/>
        <w:jc w:val="both"/>
        <w:rPr>
          <w:rFonts w:ascii="Times New Roman" w:hAnsi="Times New Roman" w:cs="Times New Roman"/>
          <w:sz w:val="24"/>
          <w:szCs w:val="24"/>
        </w:rPr>
      </w:pPr>
      <w:r w:rsidRPr="000004DB">
        <w:rPr>
          <w:rFonts w:ascii="Times New Roman" w:hAnsi="Times New Roman" w:cs="Times New Roman"/>
          <w:sz w:val="24"/>
          <w:szCs w:val="24"/>
        </w:rPr>
        <w:t>Th</w:t>
      </w:r>
      <w:r w:rsidR="00720032" w:rsidRPr="000004DB">
        <w:rPr>
          <w:rFonts w:ascii="Times New Roman" w:hAnsi="Times New Roman" w:cs="Times New Roman"/>
          <w:sz w:val="24"/>
          <w:szCs w:val="24"/>
        </w:rPr>
        <w:t>e value of the loading factor can be presented in</w:t>
      </w:r>
      <w:r w:rsidR="00EE1B21" w:rsidRPr="000004DB">
        <w:rPr>
          <w:rFonts w:ascii="Times New Roman" w:hAnsi="Times New Roman" w:cs="Times New Roman"/>
          <w:sz w:val="24"/>
          <w:szCs w:val="24"/>
        </w:rPr>
        <w:t xml:space="preserve"> </w:t>
      </w:r>
      <w:r w:rsidR="00C25F8B" w:rsidRPr="000004DB">
        <w:rPr>
          <w:rFonts w:ascii="Times New Roman" w:hAnsi="Times New Roman" w:cs="Times New Roman"/>
          <w:sz w:val="24"/>
          <w:szCs w:val="24"/>
        </w:rPr>
        <w:t>Table</w:t>
      </w:r>
      <w:r w:rsidR="000746E5" w:rsidRPr="000004DB">
        <w:rPr>
          <w:rFonts w:ascii="Times New Roman" w:hAnsi="Times New Roman" w:cs="Times New Roman"/>
          <w:sz w:val="24"/>
          <w:szCs w:val="24"/>
        </w:rPr>
        <w:t xml:space="preserve"> </w:t>
      </w:r>
      <w:r w:rsidR="00C25F8B" w:rsidRPr="000004DB">
        <w:rPr>
          <w:rFonts w:ascii="Times New Roman" w:hAnsi="Times New Roman" w:cs="Times New Roman"/>
          <w:sz w:val="24"/>
          <w:szCs w:val="24"/>
        </w:rPr>
        <w:t>1</w:t>
      </w:r>
      <w:r w:rsidR="005B6C04" w:rsidRPr="000004DB">
        <w:rPr>
          <w:rFonts w:ascii="Times New Roman" w:hAnsi="Times New Roman" w:cs="Times New Roman"/>
          <w:sz w:val="24"/>
          <w:szCs w:val="24"/>
        </w:rPr>
        <w:t>.</w:t>
      </w:r>
    </w:p>
    <w:p w14:paraId="021F2E89" w14:textId="77777777" w:rsidR="00CF28CE" w:rsidRDefault="00CF28CE" w:rsidP="00362781">
      <w:pPr>
        <w:tabs>
          <w:tab w:val="left" w:pos="1134"/>
        </w:tabs>
        <w:spacing w:after="0" w:line="276" w:lineRule="auto"/>
        <w:jc w:val="center"/>
        <w:rPr>
          <w:rFonts w:ascii="Times New Roman" w:hAnsi="Times New Roman" w:cs="Times New Roman"/>
          <w:sz w:val="24"/>
          <w:szCs w:val="24"/>
        </w:rPr>
      </w:pPr>
    </w:p>
    <w:p w14:paraId="673365DC" w14:textId="77777777" w:rsidR="00CF28CE" w:rsidRDefault="00CF28CE" w:rsidP="00362781">
      <w:pPr>
        <w:tabs>
          <w:tab w:val="left" w:pos="1134"/>
        </w:tabs>
        <w:spacing w:after="0" w:line="276" w:lineRule="auto"/>
        <w:jc w:val="center"/>
        <w:rPr>
          <w:rFonts w:ascii="Times New Roman" w:hAnsi="Times New Roman" w:cs="Times New Roman"/>
          <w:sz w:val="24"/>
          <w:szCs w:val="24"/>
        </w:rPr>
      </w:pPr>
    </w:p>
    <w:p w14:paraId="1ECDE7DE" w14:textId="77777777" w:rsidR="00CF28CE" w:rsidRDefault="00CF28CE" w:rsidP="00362781">
      <w:pPr>
        <w:tabs>
          <w:tab w:val="left" w:pos="1134"/>
        </w:tabs>
        <w:spacing w:after="0" w:line="276" w:lineRule="auto"/>
        <w:jc w:val="center"/>
        <w:rPr>
          <w:rFonts w:ascii="Times New Roman" w:hAnsi="Times New Roman" w:cs="Times New Roman"/>
          <w:sz w:val="24"/>
          <w:szCs w:val="24"/>
        </w:rPr>
      </w:pPr>
    </w:p>
    <w:p w14:paraId="5C62166C" w14:textId="77777777" w:rsidR="00CF28CE" w:rsidRDefault="00CF28CE" w:rsidP="00362781">
      <w:pPr>
        <w:tabs>
          <w:tab w:val="left" w:pos="1134"/>
        </w:tabs>
        <w:spacing w:after="0" w:line="276" w:lineRule="auto"/>
        <w:jc w:val="center"/>
        <w:rPr>
          <w:rFonts w:ascii="Times New Roman" w:hAnsi="Times New Roman" w:cs="Times New Roman"/>
          <w:sz w:val="24"/>
          <w:szCs w:val="24"/>
        </w:rPr>
      </w:pPr>
    </w:p>
    <w:p w14:paraId="22330A11" w14:textId="77777777" w:rsidR="00CF28CE" w:rsidRDefault="00CF28CE" w:rsidP="00362781">
      <w:pPr>
        <w:tabs>
          <w:tab w:val="left" w:pos="1134"/>
        </w:tabs>
        <w:spacing w:after="0" w:line="276" w:lineRule="auto"/>
        <w:jc w:val="center"/>
        <w:rPr>
          <w:rFonts w:ascii="Times New Roman" w:hAnsi="Times New Roman" w:cs="Times New Roman"/>
          <w:sz w:val="24"/>
          <w:szCs w:val="24"/>
        </w:rPr>
      </w:pPr>
    </w:p>
    <w:p w14:paraId="25252DAF" w14:textId="3A030DBE" w:rsidR="00362781" w:rsidRPr="000004DB" w:rsidRDefault="00362781" w:rsidP="00362781">
      <w:pPr>
        <w:tabs>
          <w:tab w:val="left" w:pos="1134"/>
        </w:tabs>
        <w:spacing w:after="0" w:line="276" w:lineRule="auto"/>
        <w:jc w:val="center"/>
        <w:rPr>
          <w:rFonts w:ascii="Times New Roman" w:hAnsi="Times New Roman" w:cs="Times New Roman"/>
          <w:sz w:val="24"/>
          <w:szCs w:val="24"/>
        </w:rPr>
      </w:pPr>
      <w:r w:rsidRPr="00362781">
        <w:rPr>
          <w:rFonts w:ascii="Times New Roman" w:hAnsi="Times New Roman" w:cs="Times New Roman"/>
          <w:sz w:val="24"/>
          <w:szCs w:val="24"/>
        </w:rPr>
        <w:lastRenderedPageBreak/>
        <w:t>Table 1. Loading Factor Values</w:t>
      </w:r>
    </w:p>
    <w:tbl>
      <w:tblPr>
        <w:tblStyle w:val="LightList-Accent1"/>
        <w:tblW w:w="0" w:type="auto"/>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2028"/>
        <w:gridCol w:w="2029"/>
        <w:gridCol w:w="1990"/>
      </w:tblGrid>
      <w:tr w:rsidR="00D04DE8" w:rsidRPr="000004DB" w14:paraId="090CA186" w14:textId="77777777" w:rsidTr="00324D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8" w:type="dxa"/>
            <w:vAlign w:val="center"/>
          </w:tcPr>
          <w:p w14:paraId="42B0B751" w14:textId="77777777" w:rsidR="00D04DE8" w:rsidRPr="000004DB" w:rsidRDefault="00D04DE8" w:rsidP="00AE1636">
            <w:pPr>
              <w:spacing w:line="276" w:lineRule="auto"/>
              <w:jc w:val="center"/>
              <w:rPr>
                <w:rFonts w:ascii="Times New Roman" w:hAnsi="Times New Roman" w:cs="Times New Roman"/>
                <w:sz w:val="24"/>
                <w:szCs w:val="24"/>
              </w:rPr>
            </w:pPr>
            <w:r w:rsidRPr="000004DB">
              <w:rPr>
                <w:rFonts w:ascii="Times New Roman" w:hAnsi="Times New Roman" w:cs="Times New Roman"/>
                <w:sz w:val="24"/>
                <w:szCs w:val="24"/>
              </w:rPr>
              <w:t>Competitive Advantage</w:t>
            </w:r>
          </w:p>
        </w:tc>
        <w:tc>
          <w:tcPr>
            <w:tcW w:w="2029" w:type="dxa"/>
            <w:vAlign w:val="center"/>
          </w:tcPr>
          <w:p w14:paraId="107566F6" w14:textId="77777777" w:rsidR="00D04DE8" w:rsidRPr="000004DB" w:rsidRDefault="00324DC0" w:rsidP="00AE16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04DB">
              <w:rPr>
                <w:rFonts w:ascii="Times New Roman" w:hAnsi="Times New Roman" w:cs="Times New Roman"/>
                <w:sz w:val="24"/>
                <w:szCs w:val="24"/>
              </w:rPr>
              <w:t>Digital Transformation</w:t>
            </w:r>
          </w:p>
        </w:tc>
        <w:tc>
          <w:tcPr>
            <w:tcW w:w="1990" w:type="dxa"/>
            <w:vAlign w:val="center"/>
          </w:tcPr>
          <w:p w14:paraId="02FB9841" w14:textId="77777777" w:rsidR="00D04DE8" w:rsidRPr="000004DB" w:rsidRDefault="00D04DE8" w:rsidP="00AE16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004DB">
              <w:rPr>
                <w:rFonts w:ascii="Times New Roman" w:hAnsi="Times New Roman" w:cs="Times New Roman"/>
                <w:sz w:val="24"/>
                <w:szCs w:val="24"/>
              </w:rPr>
              <w:t>Incoterm Selection</w:t>
            </w:r>
          </w:p>
        </w:tc>
      </w:tr>
      <w:tr w:rsidR="00324DC0" w:rsidRPr="000004DB" w14:paraId="0544BE75" w14:textId="77777777" w:rsidTr="00324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8" w:type="dxa"/>
            <w:tcBorders>
              <w:top w:val="none" w:sz="0" w:space="0" w:color="auto"/>
              <w:left w:val="none" w:sz="0" w:space="0" w:color="auto"/>
              <w:bottom w:val="none" w:sz="0" w:space="0" w:color="auto"/>
            </w:tcBorders>
            <w:vAlign w:val="center"/>
          </w:tcPr>
          <w:p w14:paraId="449D5617" w14:textId="77777777" w:rsidR="00324DC0" w:rsidRPr="000004DB" w:rsidRDefault="00324DC0" w:rsidP="00AE1636">
            <w:pPr>
              <w:spacing w:line="276" w:lineRule="auto"/>
              <w:jc w:val="center"/>
              <w:rPr>
                <w:rFonts w:ascii="Times New Roman" w:hAnsi="Times New Roman" w:cs="Times New Roman"/>
                <w:b w:val="0"/>
                <w:bCs w:val="0"/>
                <w:color w:val="008000"/>
                <w:sz w:val="24"/>
                <w:szCs w:val="24"/>
              </w:rPr>
            </w:pPr>
            <w:r w:rsidRPr="000004DB">
              <w:rPr>
                <w:rFonts w:ascii="Times New Roman" w:hAnsi="Times New Roman" w:cs="Times New Roman"/>
                <w:b w:val="0"/>
                <w:bCs w:val="0"/>
                <w:color w:val="008000"/>
                <w:sz w:val="24"/>
                <w:szCs w:val="24"/>
              </w:rPr>
              <w:t>0,964</w:t>
            </w:r>
          </w:p>
        </w:tc>
        <w:tc>
          <w:tcPr>
            <w:tcW w:w="2029" w:type="dxa"/>
            <w:tcBorders>
              <w:top w:val="none" w:sz="0" w:space="0" w:color="auto"/>
              <w:bottom w:val="none" w:sz="0" w:space="0" w:color="auto"/>
            </w:tcBorders>
            <w:vAlign w:val="center"/>
          </w:tcPr>
          <w:p w14:paraId="62FC9AF8"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0,955</w:t>
            </w:r>
          </w:p>
        </w:tc>
        <w:tc>
          <w:tcPr>
            <w:tcW w:w="1990" w:type="dxa"/>
            <w:tcBorders>
              <w:top w:val="none" w:sz="0" w:space="0" w:color="auto"/>
              <w:bottom w:val="none" w:sz="0" w:space="0" w:color="auto"/>
              <w:right w:val="none" w:sz="0" w:space="0" w:color="auto"/>
            </w:tcBorders>
            <w:vAlign w:val="center"/>
          </w:tcPr>
          <w:p w14:paraId="0FD1F8DC"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0,932</w:t>
            </w:r>
          </w:p>
        </w:tc>
      </w:tr>
      <w:tr w:rsidR="00324DC0" w:rsidRPr="000004DB" w14:paraId="125E589F" w14:textId="77777777" w:rsidTr="00324DC0">
        <w:trPr>
          <w:jc w:val="center"/>
        </w:trPr>
        <w:tc>
          <w:tcPr>
            <w:cnfStyle w:val="001000000000" w:firstRow="0" w:lastRow="0" w:firstColumn="1" w:lastColumn="0" w:oddVBand="0" w:evenVBand="0" w:oddHBand="0" w:evenHBand="0" w:firstRowFirstColumn="0" w:firstRowLastColumn="0" w:lastRowFirstColumn="0" w:lastRowLastColumn="0"/>
            <w:tcW w:w="2028" w:type="dxa"/>
            <w:vAlign w:val="center"/>
          </w:tcPr>
          <w:p w14:paraId="394B3A43" w14:textId="77777777" w:rsidR="00324DC0" w:rsidRPr="000004DB" w:rsidRDefault="00324DC0" w:rsidP="00AE1636">
            <w:pPr>
              <w:spacing w:line="276" w:lineRule="auto"/>
              <w:jc w:val="center"/>
              <w:rPr>
                <w:rFonts w:ascii="Times New Roman" w:hAnsi="Times New Roman" w:cs="Times New Roman"/>
                <w:b w:val="0"/>
                <w:bCs w:val="0"/>
                <w:color w:val="008000"/>
                <w:sz w:val="24"/>
                <w:szCs w:val="24"/>
              </w:rPr>
            </w:pPr>
            <w:r w:rsidRPr="000004DB">
              <w:rPr>
                <w:rFonts w:ascii="Times New Roman" w:hAnsi="Times New Roman" w:cs="Times New Roman"/>
                <w:b w:val="0"/>
                <w:bCs w:val="0"/>
                <w:color w:val="008000"/>
                <w:sz w:val="24"/>
                <w:szCs w:val="24"/>
              </w:rPr>
              <w:t>0,958</w:t>
            </w:r>
          </w:p>
        </w:tc>
        <w:tc>
          <w:tcPr>
            <w:tcW w:w="2029" w:type="dxa"/>
            <w:vAlign w:val="center"/>
          </w:tcPr>
          <w:p w14:paraId="1606F92E" w14:textId="77777777" w:rsidR="00324DC0" w:rsidRPr="000004DB" w:rsidRDefault="00324DC0" w:rsidP="00AE16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0,969</w:t>
            </w:r>
          </w:p>
        </w:tc>
        <w:tc>
          <w:tcPr>
            <w:tcW w:w="1990" w:type="dxa"/>
            <w:vAlign w:val="center"/>
          </w:tcPr>
          <w:p w14:paraId="24920F36" w14:textId="77777777" w:rsidR="00324DC0" w:rsidRPr="000004DB" w:rsidRDefault="00324DC0" w:rsidP="00AE16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0,928</w:t>
            </w:r>
          </w:p>
        </w:tc>
      </w:tr>
      <w:tr w:rsidR="00324DC0" w:rsidRPr="000004DB" w14:paraId="43AA78EB" w14:textId="77777777" w:rsidTr="00324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8" w:type="dxa"/>
            <w:tcBorders>
              <w:top w:val="none" w:sz="0" w:space="0" w:color="auto"/>
              <w:left w:val="none" w:sz="0" w:space="0" w:color="auto"/>
              <w:bottom w:val="none" w:sz="0" w:space="0" w:color="auto"/>
            </w:tcBorders>
            <w:vAlign w:val="center"/>
          </w:tcPr>
          <w:p w14:paraId="487A829C" w14:textId="77777777" w:rsidR="00324DC0" w:rsidRPr="000004DB" w:rsidRDefault="00324DC0" w:rsidP="00AE1636">
            <w:pPr>
              <w:spacing w:line="276" w:lineRule="auto"/>
              <w:jc w:val="center"/>
              <w:rPr>
                <w:rFonts w:ascii="Times New Roman" w:hAnsi="Times New Roman" w:cs="Times New Roman"/>
                <w:b w:val="0"/>
                <w:bCs w:val="0"/>
                <w:color w:val="008000"/>
                <w:sz w:val="24"/>
                <w:szCs w:val="24"/>
              </w:rPr>
            </w:pPr>
            <w:r w:rsidRPr="000004DB">
              <w:rPr>
                <w:rFonts w:ascii="Times New Roman" w:hAnsi="Times New Roman" w:cs="Times New Roman"/>
                <w:b w:val="0"/>
                <w:bCs w:val="0"/>
                <w:color w:val="008000"/>
                <w:sz w:val="24"/>
                <w:szCs w:val="24"/>
              </w:rPr>
              <w:t>0,951</w:t>
            </w:r>
          </w:p>
        </w:tc>
        <w:tc>
          <w:tcPr>
            <w:tcW w:w="2029" w:type="dxa"/>
            <w:tcBorders>
              <w:top w:val="none" w:sz="0" w:space="0" w:color="auto"/>
              <w:bottom w:val="none" w:sz="0" w:space="0" w:color="auto"/>
            </w:tcBorders>
            <w:vAlign w:val="center"/>
          </w:tcPr>
          <w:p w14:paraId="1EF17304"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0,963</w:t>
            </w:r>
          </w:p>
        </w:tc>
        <w:tc>
          <w:tcPr>
            <w:tcW w:w="1990" w:type="dxa"/>
            <w:tcBorders>
              <w:top w:val="none" w:sz="0" w:space="0" w:color="auto"/>
              <w:bottom w:val="none" w:sz="0" w:space="0" w:color="auto"/>
              <w:right w:val="none" w:sz="0" w:space="0" w:color="auto"/>
            </w:tcBorders>
            <w:vAlign w:val="center"/>
          </w:tcPr>
          <w:p w14:paraId="2FD619D9"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0,944</w:t>
            </w:r>
          </w:p>
        </w:tc>
      </w:tr>
      <w:tr w:rsidR="00324DC0" w:rsidRPr="000004DB" w14:paraId="2E84B5D2" w14:textId="77777777" w:rsidTr="00324DC0">
        <w:trPr>
          <w:jc w:val="center"/>
        </w:trPr>
        <w:tc>
          <w:tcPr>
            <w:cnfStyle w:val="001000000000" w:firstRow="0" w:lastRow="0" w:firstColumn="1" w:lastColumn="0" w:oddVBand="0" w:evenVBand="0" w:oddHBand="0" w:evenHBand="0" w:firstRowFirstColumn="0" w:firstRowLastColumn="0" w:lastRowFirstColumn="0" w:lastRowLastColumn="0"/>
            <w:tcW w:w="2028" w:type="dxa"/>
            <w:vAlign w:val="center"/>
          </w:tcPr>
          <w:p w14:paraId="7DED961A" w14:textId="77777777" w:rsidR="00324DC0" w:rsidRPr="000004DB" w:rsidRDefault="00324DC0" w:rsidP="00AE1636">
            <w:pPr>
              <w:spacing w:line="276" w:lineRule="auto"/>
              <w:jc w:val="center"/>
              <w:rPr>
                <w:rFonts w:ascii="Times New Roman" w:hAnsi="Times New Roman" w:cs="Times New Roman"/>
                <w:b w:val="0"/>
                <w:bCs w:val="0"/>
                <w:color w:val="008000"/>
                <w:sz w:val="24"/>
                <w:szCs w:val="24"/>
              </w:rPr>
            </w:pPr>
            <w:r w:rsidRPr="000004DB">
              <w:rPr>
                <w:rFonts w:ascii="Times New Roman" w:hAnsi="Times New Roman" w:cs="Times New Roman"/>
                <w:b w:val="0"/>
                <w:bCs w:val="0"/>
                <w:color w:val="008000"/>
                <w:sz w:val="24"/>
                <w:szCs w:val="24"/>
              </w:rPr>
              <w:t>0,950</w:t>
            </w:r>
          </w:p>
        </w:tc>
        <w:tc>
          <w:tcPr>
            <w:tcW w:w="2029" w:type="dxa"/>
            <w:vAlign w:val="center"/>
          </w:tcPr>
          <w:p w14:paraId="1EA44F45" w14:textId="77777777" w:rsidR="00324DC0" w:rsidRPr="000004DB" w:rsidRDefault="00324DC0" w:rsidP="00AE16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990" w:type="dxa"/>
            <w:vAlign w:val="center"/>
          </w:tcPr>
          <w:p w14:paraId="2081CC3B" w14:textId="77777777" w:rsidR="00324DC0" w:rsidRPr="000004DB" w:rsidRDefault="00324DC0" w:rsidP="00AE163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8000"/>
                <w:sz w:val="24"/>
                <w:szCs w:val="24"/>
              </w:rPr>
            </w:pPr>
            <w:r w:rsidRPr="000004DB">
              <w:rPr>
                <w:rFonts w:ascii="Times New Roman" w:hAnsi="Times New Roman" w:cs="Times New Roman"/>
                <w:color w:val="008000"/>
                <w:sz w:val="24"/>
                <w:szCs w:val="24"/>
              </w:rPr>
              <w:t>0,960</w:t>
            </w:r>
          </w:p>
        </w:tc>
      </w:tr>
      <w:tr w:rsidR="00324DC0" w:rsidRPr="000004DB" w14:paraId="4A6FBC5A" w14:textId="77777777" w:rsidTr="00324D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8" w:type="dxa"/>
            <w:tcBorders>
              <w:top w:val="none" w:sz="0" w:space="0" w:color="auto"/>
              <w:left w:val="none" w:sz="0" w:space="0" w:color="auto"/>
              <w:bottom w:val="none" w:sz="0" w:space="0" w:color="auto"/>
            </w:tcBorders>
            <w:vAlign w:val="center"/>
          </w:tcPr>
          <w:p w14:paraId="34401095" w14:textId="77777777" w:rsidR="00324DC0" w:rsidRPr="000004DB" w:rsidRDefault="00324DC0" w:rsidP="00AE1636">
            <w:pPr>
              <w:spacing w:line="276" w:lineRule="auto"/>
              <w:jc w:val="center"/>
              <w:rPr>
                <w:rFonts w:ascii="Times New Roman" w:hAnsi="Times New Roman" w:cs="Times New Roman"/>
                <w:b w:val="0"/>
                <w:bCs w:val="0"/>
                <w:color w:val="008000"/>
                <w:sz w:val="24"/>
                <w:szCs w:val="24"/>
              </w:rPr>
            </w:pPr>
            <w:r w:rsidRPr="000004DB">
              <w:rPr>
                <w:rFonts w:ascii="Times New Roman" w:hAnsi="Times New Roman" w:cs="Times New Roman"/>
                <w:b w:val="0"/>
                <w:bCs w:val="0"/>
                <w:color w:val="008000"/>
                <w:sz w:val="24"/>
                <w:szCs w:val="24"/>
              </w:rPr>
              <w:t>0,942</w:t>
            </w:r>
          </w:p>
        </w:tc>
        <w:tc>
          <w:tcPr>
            <w:tcW w:w="2029" w:type="dxa"/>
            <w:tcBorders>
              <w:top w:val="none" w:sz="0" w:space="0" w:color="auto"/>
              <w:bottom w:val="none" w:sz="0" w:space="0" w:color="auto"/>
            </w:tcBorders>
            <w:vAlign w:val="center"/>
          </w:tcPr>
          <w:p w14:paraId="18C8EF0F"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90" w:type="dxa"/>
            <w:tcBorders>
              <w:top w:val="none" w:sz="0" w:space="0" w:color="auto"/>
              <w:bottom w:val="none" w:sz="0" w:space="0" w:color="auto"/>
              <w:right w:val="none" w:sz="0" w:space="0" w:color="auto"/>
            </w:tcBorders>
            <w:vAlign w:val="center"/>
          </w:tcPr>
          <w:p w14:paraId="6F87DE80" w14:textId="77777777" w:rsidR="00324DC0" w:rsidRPr="000004DB" w:rsidRDefault="00324DC0" w:rsidP="00AE163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B99993E" w14:textId="484270F5" w:rsidR="00EE1B21" w:rsidRPr="000004DB" w:rsidRDefault="006B3DC6" w:rsidP="00AE1636">
      <w:pPr>
        <w:tabs>
          <w:tab w:val="left" w:pos="1134"/>
        </w:tabs>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 xml:space="preserve">Source: </w:t>
      </w:r>
      <w:r w:rsidR="00C25F8B" w:rsidRPr="000004DB">
        <w:rPr>
          <w:rFonts w:ascii="Times New Roman" w:hAnsi="Times New Roman" w:cs="Times New Roman"/>
          <w:sz w:val="24"/>
          <w:szCs w:val="24"/>
        </w:rPr>
        <w:t>Printout PLS,2025</w:t>
      </w:r>
    </w:p>
    <w:p w14:paraId="0E98C37B" w14:textId="6156FA4F" w:rsidR="00D04DE8" w:rsidRPr="000004DB" w:rsidRDefault="00DA3AED" w:rsidP="00362781">
      <w:pPr>
        <w:spacing w:after="0" w:line="276" w:lineRule="auto"/>
        <w:ind w:firstLine="720"/>
        <w:jc w:val="both"/>
        <w:rPr>
          <w:rFonts w:ascii="Times New Roman" w:hAnsi="Times New Roman" w:cs="Times New Roman"/>
          <w:noProof/>
          <w:sz w:val="24"/>
          <w:szCs w:val="24"/>
        </w:rPr>
      </w:pPr>
      <w:r w:rsidRPr="000004DB">
        <w:rPr>
          <w:rFonts w:ascii="Times New Roman" w:hAnsi="Times New Roman" w:cs="Times New Roman"/>
          <w:sz w:val="24"/>
          <w:szCs w:val="24"/>
        </w:rPr>
        <w:t>As presented in Table 1, the loading factor illustrates the relationship between indicators and latent constructs.  Convergent validity of an indicator is considered acceptable when the loading factor exceeds 0.7.  Evidence from Figure 2 and Table 3 demonstrates that the loading factor values are above 0.7, thereby confirming satisfactory convergent validity.</w:t>
      </w:r>
    </w:p>
    <w:p w14:paraId="3E9F8330" w14:textId="77777777" w:rsidR="00362781" w:rsidRDefault="00362781" w:rsidP="00AE1636">
      <w:pPr>
        <w:tabs>
          <w:tab w:val="left" w:pos="1134"/>
        </w:tabs>
        <w:spacing w:after="0" w:line="276" w:lineRule="auto"/>
        <w:jc w:val="both"/>
        <w:rPr>
          <w:rFonts w:ascii="Times New Roman" w:hAnsi="Times New Roman" w:cs="Times New Roman"/>
          <w:b/>
          <w:bCs/>
          <w:sz w:val="24"/>
          <w:szCs w:val="24"/>
        </w:rPr>
      </w:pPr>
    </w:p>
    <w:p w14:paraId="15900500" w14:textId="408EBAC2" w:rsidR="000746E5" w:rsidRPr="00362781" w:rsidRDefault="000852E4" w:rsidP="00AE1636">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Discriminant Validity Test Result</w:t>
      </w:r>
    </w:p>
    <w:p w14:paraId="511C9722" w14:textId="14A06A5E" w:rsidR="00D04DE8" w:rsidRPr="000004DB" w:rsidRDefault="000852E4" w:rsidP="00362781">
      <w:pPr>
        <w:spacing w:after="0" w:line="276" w:lineRule="auto"/>
        <w:ind w:firstLine="720"/>
        <w:jc w:val="both"/>
        <w:rPr>
          <w:rFonts w:ascii="Times New Roman" w:hAnsi="Times New Roman" w:cs="Times New Roman"/>
          <w:sz w:val="24"/>
          <w:szCs w:val="24"/>
        </w:rPr>
      </w:pPr>
      <w:r w:rsidRPr="000004DB">
        <w:rPr>
          <w:rFonts w:ascii="Times New Roman" w:hAnsi="Times New Roman" w:cs="Times New Roman"/>
          <w:sz w:val="24"/>
          <w:szCs w:val="24"/>
        </w:rPr>
        <w:t xml:space="preserve">The AVE value can be good if </w:t>
      </w:r>
      <w:r w:rsidR="00A279AD" w:rsidRPr="000004DB">
        <w:rPr>
          <w:rFonts w:ascii="Times New Roman" w:hAnsi="Times New Roman" w:cs="Times New Roman"/>
          <w:sz w:val="24"/>
          <w:szCs w:val="24"/>
        </w:rPr>
        <w:t xml:space="preserve">the </w:t>
      </w:r>
      <w:r w:rsidRPr="000004DB">
        <w:rPr>
          <w:rFonts w:ascii="Times New Roman" w:hAnsi="Times New Roman" w:cs="Times New Roman"/>
          <w:sz w:val="24"/>
          <w:szCs w:val="24"/>
        </w:rPr>
        <w:t>value per variable is &gt; 0.5.</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Show </w:t>
      </w:r>
      <w:r w:rsidR="00A279AD" w:rsidRPr="000004DB">
        <w:rPr>
          <w:rFonts w:ascii="Times New Roman" w:hAnsi="Times New Roman" w:cs="Times New Roman"/>
          <w:sz w:val="24"/>
          <w:szCs w:val="24"/>
        </w:rPr>
        <w:t>that discriminant</w:t>
      </w:r>
      <w:r w:rsidRPr="000004DB">
        <w:rPr>
          <w:rFonts w:ascii="Times New Roman" w:hAnsi="Times New Roman" w:cs="Times New Roman"/>
          <w:sz w:val="24"/>
          <w:szCs w:val="24"/>
        </w:rPr>
        <w:t xml:space="preserve"> validity has met the AVE value.</w:t>
      </w:r>
    </w:p>
    <w:p w14:paraId="50DECDCA" w14:textId="77777777" w:rsidR="00C25F8B" w:rsidRPr="000004DB" w:rsidRDefault="000852E4" w:rsidP="00AE1636">
      <w:pPr>
        <w:tabs>
          <w:tab w:val="left" w:pos="1134"/>
        </w:tabs>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 xml:space="preserve">Table </w:t>
      </w:r>
      <w:r w:rsidR="00C25F8B" w:rsidRPr="000004DB">
        <w:rPr>
          <w:rFonts w:ascii="Times New Roman" w:hAnsi="Times New Roman" w:cs="Times New Roman"/>
          <w:sz w:val="24"/>
          <w:szCs w:val="24"/>
        </w:rPr>
        <w:t>2</w:t>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Validity and Reliability </w:t>
      </w:r>
      <w:r w:rsidR="00453D9D" w:rsidRPr="000004DB">
        <w:rPr>
          <w:rFonts w:ascii="Times New Roman" w:hAnsi="Times New Roman" w:cs="Times New Roman"/>
          <w:sz w:val="24"/>
          <w:szCs w:val="24"/>
        </w:rPr>
        <w:t>T</w:t>
      </w:r>
      <w:r w:rsidRPr="000004DB">
        <w:rPr>
          <w:rFonts w:ascii="Times New Roman" w:hAnsi="Times New Roman" w:cs="Times New Roman"/>
          <w:sz w:val="24"/>
          <w:szCs w:val="24"/>
        </w:rPr>
        <w:t>esting</w:t>
      </w:r>
    </w:p>
    <w:tbl>
      <w:tblPr>
        <w:tblW w:w="5000" w:type="pct"/>
        <w:jc w:val="center"/>
        <w:tblBorders>
          <w:top w:val="single" w:sz="4" w:space="0" w:color="auto"/>
          <w:bottom w:val="single" w:sz="4" w:space="0" w:color="auto"/>
        </w:tblBorders>
        <w:tblLook w:val="04A0" w:firstRow="1" w:lastRow="0" w:firstColumn="1" w:lastColumn="0" w:noHBand="0" w:noVBand="1"/>
      </w:tblPr>
      <w:tblGrid>
        <w:gridCol w:w="3552"/>
        <w:gridCol w:w="2090"/>
        <w:gridCol w:w="1238"/>
        <w:gridCol w:w="1073"/>
        <w:gridCol w:w="1073"/>
      </w:tblGrid>
      <w:tr w:rsidR="00C25F8B" w:rsidRPr="000004DB" w14:paraId="093E5507" w14:textId="77777777" w:rsidTr="00362781">
        <w:trPr>
          <w:trHeight w:val="20"/>
          <w:jc w:val="center"/>
        </w:trPr>
        <w:tc>
          <w:tcPr>
            <w:tcW w:w="1977" w:type="pct"/>
            <w:shd w:val="clear" w:color="auto" w:fill="AEAAAA" w:themeFill="background2" w:themeFillShade="BF"/>
            <w:noWrap/>
            <w:vAlign w:val="center"/>
            <w:hideMark/>
          </w:tcPr>
          <w:p w14:paraId="0E89A171" w14:textId="77777777" w:rsidR="00C25F8B" w:rsidRPr="000004DB" w:rsidRDefault="00C25F8B" w:rsidP="00362781">
            <w:pPr>
              <w:spacing w:after="0" w:line="276" w:lineRule="auto"/>
              <w:rPr>
                <w:rFonts w:ascii="Times New Roman" w:eastAsia="Times New Roman" w:hAnsi="Times New Roman" w:cs="Times New Roman"/>
                <w:b/>
                <w:bCs/>
                <w:color w:val="000000"/>
                <w:sz w:val="24"/>
                <w:szCs w:val="24"/>
                <w:lang w:eastAsia="en-ID"/>
              </w:rPr>
            </w:pPr>
            <w:r w:rsidRPr="000004DB">
              <w:rPr>
                <w:rFonts w:ascii="Times New Roman" w:eastAsia="Times New Roman" w:hAnsi="Times New Roman" w:cs="Times New Roman"/>
                <w:b/>
                <w:bCs/>
                <w:color w:val="000000"/>
                <w:sz w:val="24"/>
                <w:szCs w:val="24"/>
                <w:lang w:eastAsia="en-ID"/>
              </w:rPr>
              <w:t>Variable</w:t>
            </w:r>
          </w:p>
        </w:tc>
        <w:tc>
          <w:tcPr>
            <w:tcW w:w="1120" w:type="pct"/>
            <w:shd w:val="clear" w:color="auto" w:fill="AEAAAA" w:themeFill="background2" w:themeFillShade="BF"/>
            <w:noWrap/>
            <w:vAlign w:val="center"/>
            <w:hideMark/>
          </w:tcPr>
          <w:p w14:paraId="009B072F" w14:textId="691D585C" w:rsidR="00C25F8B" w:rsidRPr="000004DB" w:rsidRDefault="00C25F8B" w:rsidP="00362781">
            <w:pPr>
              <w:spacing w:after="0" w:line="276" w:lineRule="auto"/>
              <w:jc w:val="center"/>
              <w:rPr>
                <w:rFonts w:ascii="Times New Roman" w:eastAsia="Times New Roman" w:hAnsi="Times New Roman" w:cs="Times New Roman"/>
                <w:b/>
                <w:bCs/>
                <w:color w:val="000000"/>
                <w:sz w:val="24"/>
                <w:szCs w:val="24"/>
                <w:lang w:eastAsia="en-ID"/>
              </w:rPr>
            </w:pPr>
            <w:r w:rsidRPr="000004DB">
              <w:rPr>
                <w:rFonts w:ascii="Times New Roman" w:eastAsia="Times New Roman" w:hAnsi="Times New Roman" w:cs="Times New Roman"/>
                <w:b/>
                <w:bCs/>
                <w:color w:val="000000"/>
                <w:sz w:val="24"/>
                <w:szCs w:val="24"/>
                <w:lang w:eastAsia="en-ID"/>
              </w:rPr>
              <w:t>Cronbach's Alpha</w:t>
            </w:r>
          </w:p>
        </w:tc>
        <w:tc>
          <w:tcPr>
            <w:tcW w:w="695" w:type="pct"/>
            <w:shd w:val="clear" w:color="auto" w:fill="AEAAAA" w:themeFill="background2" w:themeFillShade="BF"/>
            <w:noWrap/>
            <w:vAlign w:val="center"/>
            <w:hideMark/>
          </w:tcPr>
          <w:p w14:paraId="566F45A7" w14:textId="77777777" w:rsidR="00C25F8B" w:rsidRPr="000004DB" w:rsidRDefault="00C25F8B" w:rsidP="00AE1636">
            <w:pPr>
              <w:spacing w:after="0" w:line="276" w:lineRule="auto"/>
              <w:jc w:val="center"/>
              <w:rPr>
                <w:rFonts w:ascii="Times New Roman" w:eastAsia="Times New Roman" w:hAnsi="Times New Roman" w:cs="Times New Roman"/>
                <w:b/>
                <w:bCs/>
                <w:color w:val="000000"/>
                <w:sz w:val="24"/>
                <w:szCs w:val="24"/>
                <w:lang w:eastAsia="en-ID"/>
              </w:rPr>
            </w:pPr>
            <w:proofErr w:type="spellStart"/>
            <w:r w:rsidRPr="000004DB">
              <w:rPr>
                <w:rFonts w:ascii="Times New Roman" w:eastAsia="Times New Roman" w:hAnsi="Times New Roman" w:cs="Times New Roman"/>
                <w:b/>
                <w:bCs/>
                <w:color w:val="000000"/>
                <w:sz w:val="24"/>
                <w:szCs w:val="24"/>
                <w:lang w:eastAsia="en-ID"/>
              </w:rPr>
              <w:t>rho_A</w:t>
            </w:r>
            <w:proofErr w:type="spellEnd"/>
          </w:p>
        </w:tc>
        <w:tc>
          <w:tcPr>
            <w:tcW w:w="604" w:type="pct"/>
            <w:shd w:val="clear" w:color="auto" w:fill="AEAAAA" w:themeFill="background2" w:themeFillShade="BF"/>
            <w:noWrap/>
            <w:vAlign w:val="center"/>
            <w:hideMark/>
          </w:tcPr>
          <w:p w14:paraId="05CFFEA0" w14:textId="77777777" w:rsidR="00C25F8B" w:rsidRPr="000004DB" w:rsidRDefault="00C25F8B" w:rsidP="00AE1636">
            <w:pPr>
              <w:spacing w:after="0" w:line="276" w:lineRule="auto"/>
              <w:jc w:val="center"/>
              <w:rPr>
                <w:rFonts w:ascii="Times New Roman" w:eastAsia="Times New Roman" w:hAnsi="Times New Roman" w:cs="Times New Roman"/>
                <w:b/>
                <w:bCs/>
                <w:color w:val="000000"/>
                <w:sz w:val="24"/>
                <w:szCs w:val="24"/>
                <w:lang w:eastAsia="en-ID"/>
              </w:rPr>
            </w:pPr>
            <w:r w:rsidRPr="000004DB">
              <w:rPr>
                <w:rFonts w:ascii="Times New Roman" w:eastAsia="Times New Roman" w:hAnsi="Times New Roman" w:cs="Times New Roman"/>
                <w:b/>
                <w:bCs/>
                <w:color w:val="000000"/>
                <w:sz w:val="24"/>
                <w:szCs w:val="24"/>
                <w:lang w:eastAsia="en-ID"/>
              </w:rPr>
              <w:t>C/R</w:t>
            </w:r>
          </w:p>
        </w:tc>
        <w:tc>
          <w:tcPr>
            <w:tcW w:w="604" w:type="pct"/>
            <w:shd w:val="clear" w:color="auto" w:fill="AEAAAA" w:themeFill="background2" w:themeFillShade="BF"/>
            <w:noWrap/>
            <w:vAlign w:val="center"/>
            <w:hideMark/>
          </w:tcPr>
          <w:p w14:paraId="1767EEBC" w14:textId="77777777" w:rsidR="00C25F8B" w:rsidRPr="000004DB" w:rsidRDefault="00C25F8B" w:rsidP="00AE1636">
            <w:pPr>
              <w:spacing w:after="0" w:line="276" w:lineRule="auto"/>
              <w:jc w:val="center"/>
              <w:rPr>
                <w:rFonts w:ascii="Times New Roman" w:eastAsia="Times New Roman" w:hAnsi="Times New Roman" w:cs="Times New Roman"/>
                <w:b/>
                <w:bCs/>
                <w:color w:val="000000"/>
                <w:sz w:val="24"/>
                <w:szCs w:val="24"/>
                <w:lang w:eastAsia="en-ID"/>
              </w:rPr>
            </w:pPr>
            <w:r w:rsidRPr="000004DB">
              <w:rPr>
                <w:rFonts w:ascii="Times New Roman" w:eastAsia="Times New Roman" w:hAnsi="Times New Roman" w:cs="Times New Roman"/>
                <w:b/>
                <w:bCs/>
                <w:color w:val="000000"/>
                <w:sz w:val="24"/>
                <w:szCs w:val="24"/>
                <w:lang w:eastAsia="en-ID"/>
              </w:rPr>
              <w:t>AVE</w:t>
            </w:r>
          </w:p>
        </w:tc>
      </w:tr>
      <w:tr w:rsidR="00783572" w:rsidRPr="000004DB" w14:paraId="41A8C70A" w14:textId="77777777" w:rsidTr="00362781">
        <w:trPr>
          <w:trHeight w:val="20"/>
          <w:jc w:val="center"/>
        </w:trPr>
        <w:tc>
          <w:tcPr>
            <w:tcW w:w="1977" w:type="pct"/>
            <w:noWrap/>
            <w:vAlign w:val="center"/>
            <w:hideMark/>
          </w:tcPr>
          <w:p w14:paraId="37509FE5" w14:textId="77777777" w:rsidR="00783572" w:rsidRPr="000004DB" w:rsidRDefault="00783572" w:rsidP="00AE1636">
            <w:pPr>
              <w:spacing w:after="0" w:line="276" w:lineRule="auto"/>
              <w:rPr>
                <w:rFonts w:ascii="Times New Roman" w:eastAsia="Times New Roman" w:hAnsi="Times New Roman" w:cs="Times New Roman"/>
                <w:color w:val="000000"/>
                <w:sz w:val="24"/>
                <w:szCs w:val="24"/>
                <w:lang w:eastAsia="en-ID"/>
              </w:rPr>
            </w:pPr>
            <w:proofErr w:type="spellStart"/>
            <w:r w:rsidRPr="000004DB">
              <w:rPr>
                <w:rFonts w:ascii="Times New Roman" w:eastAsia="Times New Roman" w:hAnsi="Times New Roman" w:cs="Times New Roman"/>
                <w:color w:val="000000"/>
                <w:sz w:val="24"/>
                <w:szCs w:val="24"/>
                <w:lang w:eastAsia="en-ID"/>
              </w:rPr>
              <w:t>Competetive</w:t>
            </w:r>
            <w:proofErr w:type="spellEnd"/>
            <w:r w:rsidRPr="000004DB">
              <w:rPr>
                <w:rFonts w:ascii="Times New Roman" w:eastAsia="Times New Roman" w:hAnsi="Times New Roman" w:cs="Times New Roman"/>
                <w:color w:val="000000"/>
                <w:sz w:val="24"/>
                <w:szCs w:val="24"/>
                <w:lang w:eastAsia="en-ID"/>
              </w:rPr>
              <w:t xml:space="preserve"> advantage</w:t>
            </w:r>
          </w:p>
        </w:tc>
        <w:tc>
          <w:tcPr>
            <w:tcW w:w="1120" w:type="pct"/>
            <w:noWrap/>
            <w:vAlign w:val="center"/>
            <w:hideMark/>
          </w:tcPr>
          <w:p w14:paraId="2B12F06E"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0,975</w:t>
            </w:r>
          </w:p>
        </w:tc>
        <w:tc>
          <w:tcPr>
            <w:tcW w:w="695" w:type="pct"/>
            <w:noWrap/>
            <w:vAlign w:val="center"/>
            <w:hideMark/>
          </w:tcPr>
          <w:p w14:paraId="109E7671"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0,975</w:t>
            </w:r>
          </w:p>
        </w:tc>
        <w:tc>
          <w:tcPr>
            <w:tcW w:w="604" w:type="pct"/>
            <w:noWrap/>
            <w:vAlign w:val="center"/>
            <w:hideMark/>
          </w:tcPr>
          <w:p w14:paraId="2A3295A8"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0,980</w:t>
            </w:r>
          </w:p>
        </w:tc>
        <w:tc>
          <w:tcPr>
            <w:tcW w:w="604" w:type="pct"/>
            <w:noWrap/>
            <w:vAlign w:val="center"/>
            <w:hideMark/>
          </w:tcPr>
          <w:p w14:paraId="71A4283E"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0,908</w:t>
            </w:r>
          </w:p>
        </w:tc>
      </w:tr>
      <w:tr w:rsidR="00626D2F" w:rsidRPr="000004DB" w14:paraId="795AE3A7" w14:textId="77777777" w:rsidTr="00362781">
        <w:trPr>
          <w:trHeight w:val="20"/>
          <w:jc w:val="center"/>
        </w:trPr>
        <w:tc>
          <w:tcPr>
            <w:tcW w:w="1977" w:type="pct"/>
            <w:noWrap/>
            <w:vAlign w:val="center"/>
            <w:hideMark/>
          </w:tcPr>
          <w:p w14:paraId="02E88F7F" w14:textId="77777777" w:rsidR="00783572" w:rsidRPr="000004DB" w:rsidRDefault="00783572" w:rsidP="00AE1636">
            <w:pPr>
              <w:spacing w:after="0" w:line="276" w:lineRule="auto"/>
              <w:rPr>
                <w:rFonts w:ascii="Times New Roman" w:eastAsia="Times New Roman" w:hAnsi="Times New Roman" w:cs="Times New Roman"/>
                <w:color w:val="000000"/>
                <w:sz w:val="24"/>
                <w:szCs w:val="24"/>
                <w:lang w:eastAsia="en-ID"/>
              </w:rPr>
            </w:pPr>
            <w:r w:rsidRPr="000004DB">
              <w:rPr>
                <w:rFonts w:ascii="Times New Roman" w:eastAsia="Times New Roman" w:hAnsi="Times New Roman" w:cs="Times New Roman"/>
                <w:color w:val="000000"/>
                <w:sz w:val="24"/>
                <w:szCs w:val="24"/>
                <w:lang w:eastAsia="en-ID"/>
              </w:rPr>
              <w:t>Digital Transformation</w:t>
            </w:r>
          </w:p>
        </w:tc>
        <w:tc>
          <w:tcPr>
            <w:tcW w:w="1120" w:type="pct"/>
            <w:noWrap/>
            <w:vAlign w:val="center"/>
            <w:hideMark/>
          </w:tcPr>
          <w:p w14:paraId="2ED5ABD7"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0,960</w:t>
            </w:r>
          </w:p>
        </w:tc>
        <w:tc>
          <w:tcPr>
            <w:tcW w:w="695" w:type="pct"/>
            <w:noWrap/>
            <w:vAlign w:val="center"/>
            <w:hideMark/>
          </w:tcPr>
          <w:p w14:paraId="562E337E"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0,961</w:t>
            </w:r>
          </w:p>
        </w:tc>
        <w:tc>
          <w:tcPr>
            <w:tcW w:w="604" w:type="pct"/>
            <w:noWrap/>
            <w:vAlign w:val="center"/>
            <w:hideMark/>
          </w:tcPr>
          <w:p w14:paraId="457A5831"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0,974</w:t>
            </w:r>
          </w:p>
        </w:tc>
        <w:tc>
          <w:tcPr>
            <w:tcW w:w="604" w:type="pct"/>
            <w:noWrap/>
            <w:vAlign w:val="center"/>
            <w:hideMark/>
          </w:tcPr>
          <w:p w14:paraId="01962D77"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0,926</w:t>
            </w:r>
          </w:p>
        </w:tc>
      </w:tr>
      <w:tr w:rsidR="00783572" w:rsidRPr="000004DB" w14:paraId="58FC35C3" w14:textId="77777777" w:rsidTr="00362781">
        <w:trPr>
          <w:trHeight w:val="20"/>
          <w:jc w:val="center"/>
        </w:trPr>
        <w:tc>
          <w:tcPr>
            <w:tcW w:w="1977" w:type="pct"/>
            <w:noWrap/>
            <w:vAlign w:val="center"/>
            <w:hideMark/>
          </w:tcPr>
          <w:p w14:paraId="2EDC6B11" w14:textId="77777777" w:rsidR="00783572" w:rsidRPr="000004DB" w:rsidRDefault="00783572" w:rsidP="00AE1636">
            <w:pPr>
              <w:spacing w:after="0" w:line="276" w:lineRule="auto"/>
              <w:rPr>
                <w:rFonts w:ascii="Times New Roman" w:eastAsia="Times New Roman" w:hAnsi="Times New Roman" w:cs="Times New Roman"/>
                <w:color w:val="000000"/>
                <w:sz w:val="24"/>
                <w:szCs w:val="24"/>
                <w:lang w:eastAsia="en-ID"/>
              </w:rPr>
            </w:pPr>
            <w:r w:rsidRPr="000004DB">
              <w:rPr>
                <w:rFonts w:ascii="Times New Roman" w:eastAsia="Times New Roman" w:hAnsi="Times New Roman" w:cs="Times New Roman"/>
                <w:color w:val="000000"/>
                <w:sz w:val="24"/>
                <w:szCs w:val="24"/>
                <w:lang w:eastAsia="en-ID"/>
              </w:rPr>
              <w:t>Incoterm</w:t>
            </w:r>
          </w:p>
        </w:tc>
        <w:tc>
          <w:tcPr>
            <w:tcW w:w="1120" w:type="pct"/>
            <w:noWrap/>
            <w:vAlign w:val="center"/>
            <w:hideMark/>
          </w:tcPr>
          <w:p w14:paraId="590431AF"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0,957</w:t>
            </w:r>
          </w:p>
        </w:tc>
        <w:tc>
          <w:tcPr>
            <w:tcW w:w="695" w:type="pct"/>
            <w:noWrap/>
            <w:vAlign w:val="center"/>
            <w:hideMark/>
          </w:tcPr>
          <w:p w14:paraId="10F2DD7F"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0,958</w:t>
            </w:r>
          </w:p>
        </w:tc>
        <w:tc>
          <w:tcPr>
            <w:tcW w:w="604" w:type="pct"/>
            <w:noWrap/>
            <w:vAlign w:val="center"/>
            <w:hideMark/>
          </w:tcPr>
          <w:p w14:paraId="5027F939"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0,969</w:t>
            </w:r>
          </w:p>
        </w:tc>
        <w:tc>
          <w:tcPr>
            <w:tcW w:w="604" w:type="pct"/>
            <w:noWrap/>
            <w:vAlign w:val="center"/>
            <w:hideMark/>
          </w:tcPr>
          <w:p w14:paraId="2890E05E" w14:textId="77777777" w:rsidR="00783572" w:rsidRPr="000004DB" w:rsidRDefault="00783572" w:rsidP="00AE1636">
            <w:pPr>
              <w:spacing w:after="0" w:line="276" w:lineRule="auto"/>
              <w:jc w:val="center"/>
              <w:rPr>
                <w:rFonts w:ascii="Times New Roman" w:hAnsi="Times New Roman" w:cs="Times New Roman"/>
                <w:color w:val="008000"/>
                <w:sz w:val="24"/>
                <w:szCs w:val="24"/>
              </w:rPr>
            </w:pPr>
            <w:r w:rsidRPr="000004DB">
              <w:rPr>
                <w:rFonts w:ascii="Times New Roman" w:hAnsi="Times New Roman" w:cs="Times New Roman"/>
                <w:color w:val="008000"/>
                <w:sz w:val="24"/>
                <w:szCs w:val="24"/>
              </w:rPr>
              <w:t>0,886</w:t>
            </w:r>
          </w:p>
        </w:tc>
      </w:tr>
    </w:tbl>
    <w:p w14:paraId="5EA75BD8" w14:textId="77777777" w:rsidR="00F97871" w:rsidRPr="000004DB" w:rsidRDefault="00C25F8B" w:rsidP="00AE1636">
      <w:pPr>
        <w:autoSpaceDE w:val="0"/>
        <w:autoSpaceDN w:val="0"/>
        <w:adjustRightInd w:val="0"/>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Source: Printout PLS,2025</w:t>
      </w:r>
    </w:p>
    <w:p w14:paraId="78C9CC92" w14:textId="77777777" w:rsidR="00457859" w:rsidRPr="000004DB" w:rsidRDefault="00F97871" w:rsidP="00AE1636">
      <w:pPr>
        <w:autoSpaceDE w:val="0"/>
        <w:autoSpaceDN w:val="0"/>
        <w:adjustRightInd w:val="0"/>
        <w:spacing w:after="0" w:line="276" w:lineRule="auto"/>
        <w:ind w:firstLine="720"/>
        <w:rPr>
          <w:rFonts w:ascii="Times New Roman" w:hAnsi="Times New Roman" w:cs="Times New Roman"/>
          <w:sz w:val="24"/>
          <w:szCs w:val="24"/>
        </w:rPr>
      </w:pPr>
      <w:r w:rsidRPr="000004DB">
        <w:rPr>
          <w:rFonts w:ascii="Times New Roman" w:hAnsi="Times New Roman" w:cs="Times New Roman"/>
          <w:sz w:val="24"/>
          <w:szCs w:val="24"/>
        </w:rPr>
        <w:t xml:space="preserve">The discriminant validity criteria have been met, as all variables have maintained AVE values greater than 0.5. </w:t>
      </w:r>
    </w:p>
    <w:p w14:paraId="70B9F419" w14:textId="77777777" w:rsidR="00D04DE8" w:rsidRPr="000004DB" w:rsidRDefault="00D04DE8" w:rsidP="00AE1636">
      <w:pPr>
        <w:autoSpaceDE w:val="0"/>
        <w:autoSpaceDN w:val="0"/>
        <w:adjustRightInd w:val="0"/>
        <w:spacing w:after="0" w:line="276" w:lineRule="auto"/>
        <w:ind w:firstLine="720"/>
        <w:rPr>
          <w:rFonts w:ascii="Times New Roman" w:hAnsi="Times New Roman" w:cs="Times New Roman"/>
          <w:sz w:val="24"/>
          <w:szCs w:val="24"/>
        </w:rPr>
      </w:pPr>
    </w:p>
    <w:p w14:paraId="4C61F832" w14:textId="77777777" w:rsidR="00362781" w:rsidRDefault="00362781" w:rsidP="00AE1636">
      <w:pPr>
        <w:tabs>
          <w:tab w:val="left" w:pos="1134"/>
        </w:tabs>
        <w:spacing w:after="0" w:line="276" w:lineRule="auto"/>
        <w:jc w:val="both"/>
        <w:rPr>
          <w:rFonts w:ascii="Times New Roman" w:hAnsi="Times New Roman" w:cs="Times New Roman"/>
          <w:b/>
          <w:bCs/>
          <w:sz w:val="24"/>
          <w:szCs w:val="24"/>
        </w:rPr>
      </w:pPr>
    </w:p>
    <w:p w14:paraId="28D6550D" w14:textId="45CC5EE9" w:rsidR="00F97871" w:rsidRPr="00362781" w:rsidRDefault="00F97871" w:rsidP="00362781">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Cronbach's Alpha Test Results</w:t>
      </w:r>
    </w:p>
    <w:p w14:paraId="418991D7" w14:textId="77777777" w:rsidR="000D4826" w:rsidRPr="000004DB" w:rsidRDefault="00DA3AED" w:rsidP="00362781">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Cronbach's alpha, together with composite reliability, provides evidence for the outer model.  A latent variable is considered to possess adequate reliability when its value is above 0.7.  The test results indicate that all variables meet this criterion, as both Cronbach's alpha and composite reliability exceed 0.7.  Beyond factor loadings, convergent validity is assessed through the Average Variance Extracted (AVE).  An AVE score greater than 0.5 signifies strong convergent validity for an indicator.  As shown in Table 2, discriminant validity is also supported since the AVE values surpass the 0.5 threshold.</w:t>
      </w:r>
    </w:p>
    <w:p w14:paraId="1643727B" w14:textId="77777777" w:rsidR="00362781" w:rsidRDefault="00362781" w:rsidP="00362781">
      <w:pPr>
        <w:tabs>
          <w:tab w:val="left" w:pos="1134"/>
        </w:tabs>
        <w:spacing w:after="0" w:line="276" w:lineRule="auto"/>
        <w:jc w:val="both"/>
        <w:rPr>
          <w:rFonts w:ascii="Times New Roman" w:hAnsi="Times New Roman" w:cs="Times New Roman"/>
          <w:b/>
          <w:bCs/>
          <w:sz w:val="24"/>
          <w:szCs w:val="24"/>
        </w:rPr>
      </w:pPr>
    </w:p>
    <w:p w14:paraId="55ACAED5" w14:textId="5FCEA958" w:rsidR="00F97871" w:rsidRPr="00362781" w:rsidRDefault="00F97871" w:rsidP="00362781">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Composite reliability test result</w:t>
      </w:r>
    </w:p>
    <w:p w14:paraId="5CBC1764" w14:textId="77777777" w:rsidR="00F97871" w:rsidRPr="000004DB" w:rsidRDefault="00A279AD" w:rsidP="00362781">
      <w:pPr>
        <w:autoSpaceDE w:val="0"/>
        <w:autoSpaceDN w:val="0"/>
        <w:adjustRightInd w:val="0"/>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Composite reliability is satisfactory if the value is greater than or equal to 0.7</w:t>
      </w:r>
      <w:r w:rsidR="00B4519F"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B4519F" w:rsidRPr="000004DB">
        <w:rPr>
          <w:rFonts w:ascii="Times New Roman" w:hAnsi="Times New Roman" w:cs="Times New Roman"/>
          <w:sz w:val="24"/>
          <w:szCs w:val="24"/>
        </w:rPr>
        <w:t xml:space="preserve"> The CR value of all variables is </w:t>
      </w:r>
      <w:r w:rsidRPr="000004DB">
        <w:rPr>
          <w:rFonts w:ascii="Times New Roman" w:hAnsi="Times New Roman" w:cs="Times New Roman"/>
          <w:sz w:val="24"/>
          <w:szCs w:val="24"/>
        </w:rPr>
        <w:t>more significant</w:t>
      </w:r>
      <w:r w:rsidR="00B4519F" w:rsidRPr="000004DB">
        <w:rPr>
          <w:rFonts w:ascii="Times New Roman" w:hAnsi="Times New Roman" w:cs="Times New Roman"/>
          <w:sz w:val="24"/>
          <w:szCs w:val="24"/>
        </w:rPr>
        <w:t xml:space="preserve"> than 0.7, indicating good reliability under the composite reliability criteria.</w:t>
      </w:r>
      <w:r w:rsidR="00FC6D9A" w:rsidRPr="000004DB">
        <w:rPr>
          <w:rFonts w:ascii="Times New Roman" w:hAnsi="Times New Roman" w:cs="Times New Roman"/>
          <w:sz w:val="24"/>
          <w:szCs w:val="24"/>
        </w:rPr>
        <w:t xml:space="preserve"> </w:t>
      </w:r>
      <w:r w:rsidR="00B4519F" w:rsidRPr="000004DB">
        <w:rPr>
          <w:rFonts w:ascii="Times New Roman" w:hAnsi="Times New Roman" w:cs="Times New Roman"/>
          <w:sz w:val="24"/>
          <w:szCs w:val="24"/>
        </w:rPr>
        <w:t xml:space="preserve"> </w:t>
      </w:r>
      <w:r w:rsidRPr="000004DB">
        <w:rPr>
          <w:rFonts w:ascii="Times New Roman" w:hAnsi="Times New Roman" w:cs="Times New Roman"/>
          <w:sz w:val="24"/>
          <w:szCs w:val="24"/>
        </w:rPr>
        <w:t>Composite reliability is satisfactory if the value is greater than or equal to 0.7</w:t>
      </w:r>
      <w:r w:rsidR="00B4519F"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B4519F" w:rsidRPr="000004DB">
        <w:rPr>
          <w:rFonts w:ascii="Times New Roman" w:hAnsi="Times New Roman" w:cs="Times New Roman"/>
          <w:sz w:val="24"/>
          <w:szCs w:val="24"/>
        </w:rPr>
        <w:t xml:space="preserve"> The CR value of all variables is greater than 0.7, indicating that they have good reliability under the composite reliability criteria.</w:t>
      </w:r>
      <w:r w:rsidR="00FC6D9A" w:rsidRPr="000004DB">
        <w:rPr>
          <w:rFonts w:ascii="Times New Roman" w:hAnsi="Times New Roman" w:cs="Times New Roman"/>
          <w:sz w:val="24"/>
          <w:szCs w:val="24"/>
        </w:rPr>
        <w:t xml:space="preserve"> </w:t>
      </w:r>
      <w:r w:rsidR="00B4519F"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Composite reliability is satisfactory if the </w:t>
      </w:r>
      <w:r w:rsidRPr="000004DB">
        <w:rPr>
          <w:rFonts w:ascii="Times New Roman" w:hAnsi="Times New Roman" w:cs="Times New Roman"/>
          <w:sz w:val="24"/>
          <w:szCs w:val="24"/>
        </w:rPr>
        <w:lastRenderedPageBreak/>
        <w:t>value is greater than or equal to 0.7</w:t>
      </w:r>
      <w:r w:rsidR="00B4519F"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B4519F" w:rsidRPr="000004DB">
        <w:rPr>
          <w:rFonts w:ascii="Times New Roman" w:hAnsi="Times New Roman" w:cs="Times New Roman"/>
          <w:sz w:val="24"/>
          <w:szCs w:val="24"/>
        </w:rPr>
        <w:t xml:space="preserve"> The CR value of all variables is greater than 0.7, indicating that they have good reliability under the composite reliability criteria. </w:t>
      </w:r>
    </w:p>
    <w:p w14:paraId="04E1A6F5" w14:textId="77777777" w:rsidR="00362781" w:rsidRDefault="00362781" w:rsidP="00362781">
      <w:pPr>
        <w:tabs>
          <w:tab w:val="left" w:pos="1134"/>
        </w:tabs>
        <w:spacing w:after="0" w:line="276" w:lineRule="auto"/>
        <w:jc w:val="both"/>
        <w:rPr>
          <w:rFonts w:ascii="Times New Roman" w:hAnsi="Times New Roman" w:cs="Times New Roman"/>
          <w:b/>
          <w:bCs/>
          <w:sz w:val="24"/>
          <w:szCs w:val="24"/>
        </w:rPr>
      </w:pPr>
    </w:p>
    <w:p w14:paraId="6C18AABB" w14:textId="64FACEF0" w:rsidR="00DE5B50" w:rsidRPr="00362781" w:rsidRDefault="00DE5B50" w:rsidP="00362781">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Hypothesis Test</w:t>
      </w:r>
    </w:p>
    <w:p w14:paraId="095AAFF0" w14:textId="77777777" w:rsidR="00DE5B50" w:rsidRPr="000004DB" w:rsidRDefault="00DA3AED" w:rsidP="00362781">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A statistical T-test is applied to evaluate the effect of an exogenous variable on endogenous constructs.  A variable is considered significant and exerts influence when the T-statistic exceeds 1.96 or when the P-value falls below 0.05.</w:t>
      </w:r>
    </w:p>
    <w:p w14:paraId="771C4228" w14:textId="77777777" w:rsidR="00B4519F" w:rsidRPr="000004DB" w:rsidRDefault="008D4E9B" w:rsidP="00AE1636">
      <w:pPr>
        <w:pStyle w:val="Caption"/>
        <w:keepNext/>
        <w:spacing w:after="0" w:line="276" w:lineRule="auto"/>
        <w:jc w:val="center"/>
        <w:rPr>
          <w:rFonts w:ascii="Times New Roman" w:hAnsi="Times New Roman" w:cs="Times New Roman"/>
          <w:sz w:val="24"/>
          <w:szCs w:val="24"/>
        </w:rPr>
      </w:pPr>
      <w:r w:rsidRPr="000004DB">
        <w:rPr>
          <w:rFonts w:ascii="Times New Roman" w:hAnsi="Times New Roman" w:cs="Times New Roman"/>
          <w:i w:val="0"/>
          <w:iCs w:val="0"/>
          <w:color w:val="auto"/>
          <w:sz w:val="24"/>
          <w:szCs w:val="24"/>
        </w:rPr>
        <w:t>Table</w:t>
      </w:r>
      <w:r w:rsidR="00B4519F" w:rsidRPr="000004DB">
        <w:rPr>
          <w:rFonts w:ascii="Times New Roman" w:hAnsi="Times New Roman" w:cs="Times New Roman"/>
          <w:i w:val="0"/>
          <w:iCs w:val="0"/>
          <w:color w:val="auto"/>
          <w:sz w:val="24"/>
          <w:szCs w:val="24"/>
        </w:rPr>
        <w:t xml:space="preserve"> </w:t>
      </w:r>
      <w:r w:rsidR="00ED2B30" w:rsidRPr="000004DB">
        <w:rPr>
          <w:rFonts w:ascii="Times New Roman" w:hAnsi="Times New Roman" w:cs="Times New Roman"/>
          <w:i w:val="0"/>
          <w:iCs w:val="0"/>
          <w:color w:val="auto"/>
          <w:sz w:val="24"/>
          <w:szCs w:val="24"/>
        </w:rPr>
        <w:t>3</w:t>
      </w:r>
      <w:r w:rsidRPr="000004DB">
        <w:rPr>
          <w:rFonts w:ascii="Times New Roman" w:hAnsi="Times New Roman" w:cs="Times New Roman"/>
          <w:b/>
          <w:bCs/>
          <w:i w:val="0"/>
          <w:iCs w:val="0"/>
          <w:color w:val="auto"/>
          <w:sz w:val="24"/>
          <w:szCs w:val="24"/>
        </w:rPr>
        <w:t xml:space="preserve"> </w:t>
      </w:r>
      <w:r w:rsidRPr="000004DB">
        <w:rPr>
          <w:rFonts w:ascii="Times New Roman" w:hAnsi="Times New Roman" w:cs="Times New Roman"/>
          <w:i w:val="0"/>
          <w:iCs w:val="0"/>
          <w:color w:val="auto"/>
          <w:sz w:val="24"/>
          <w:szCs w:val="24"/>
        </w:rPr>
        <w:t>Hypot</w:t>
      </w:r>
      <w:r w:rsidR="007A4DE7" w:rsidRPr="000004DB">
        <w:rPr>
          <w:rFonts w:ascii="Times New Roman" w:hAnsi="Times New Roman" w:cs="Times New Roman"/>
          <w:i w:val="0"/>
          <w:iCs w:val="0"/>
          <w:color w:val="auto"/>
          <w:sz w:val="24"/>
          <w:szCs w:val="24"/>
        </w:rPr>
        <w:t>h</w:t>
      </w:r>
      <w:r w:rsidRPr="000004DB">
        <w:rPr>
          <w:rFonts w:ascii="Times New Roman" w:hAnsi="Times New Roman" w:cs="Times New Roman"/>
          <w:i w:val="0"/>
          <w:iCs w:val="0"/>
          <w:color w:val="auto"/>
          <w:sz w:val="24"/>
          <w:szCs w:val="24"/>
        </w:rPr>
        <w:t>esis Test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947"/>
        <w:gridCol w:w="2526"/>
        <w:gridCol w:w="1041"/>
        <w:gridCol w:w="1207"/>
      </w:tblGrid>
      <w:tr w:rsidR="008E7C8A" w:rsidRPr="00362781" w14:paraId="71E6322D" w14:textId="77777777" w:rsidTr="00F27FA5">
        <w:trPr>
          <w:trHeight w:val="290"/>
          <w:jc w:val="center"/>
        </w:trPr>
        <w:tc>
          <w:tcPr>
            <w:tcW w:w="0" w:type="auto"/>
            <w:noWrap/>
            <w:vAlign w:val="center"/>
            <w:hideMark/>
          </w:tcPr>
          <w:p w14:paraId="1222ECAC" w14:textId="77777777" w:rsidR="008E7C8A" w:rsidRPr="00362781" w:rsidRDefault="008E7C8A"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Variable</w:t>
            </w:r>
          </w:p>
        </w:tc>
        <w:tc>
          <w:tcPr>
            <w:tcW w:w="0" w:type="auto"/>
            <w:noWrap/>
            <w:vAlign w:val="center"/>
            <w:hideMark/>
          </w:tcPr>
          <w:p w14:paraId="60DE4AF0" w14:textId="77777777" w:rsidR="008E7C8A" w:rsidRPr="00362781" w:rsidRDefault="008E7C8A"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T Statistics (|O/STDEV|)</w:t>
            </w:r>
          </w:p>
        </w:tc>
        <w:tc>
          <w:tcPr>
            <w:tcW w:w="0" w:type="auto"/>
            <w:noWrap/>
            <w:vAlign w:val="center"/>
            <w:hideMark/>
          </w:tcPr>
          <w:p w14:paraId="4AEDCBD4" w14:textId="77777777" w:rsidR="008E7C8A" w:rsidRPr="00362781" w:rsidRDefault="008E7C8A"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P Values</w:t>
            </w:r>
          </w:p>
        </w:tc>
        <w:tc>
          <w:tcPr>
            <w:tcW w:w="0" w:type="auto"/>
            <w:vAlign w:val="center"/>
          </w:tcPr>
          <w:p w14:paraId="1FB15A69" w14:textId="77777777" w:rsidR="008E7C8A" w:rsidRPr="00362781" w:rsidRDefault="008E7C8A"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Result</w:t>
            </w:r>
          </w:p>
        </w:tc>
      </w:tr>
      <w:tr w:rsidR="008E7C8A" w:rsidRPr="00362781" w14:paraId="0CBFEBBC" w14:textId="77777777" w:rsidTr="00F27FA5">
        <w:trPr>
          <w:trHeight w:val="290"/>
          <w:jc w:val="center"/>
        </w:trPr>
        <w:tc>
          <w:tcPr>
            <w:tcW w:w="0" w:type="auto"/>
            <w:noWrap/>
            <w:vAlign w:val="center"/>
            <w:hideMark/>
          </w:tcPr>
          <w:p w14:paraId="271FE5DB" w14:textId="77777777" w:rsidR="008E7C8A" w:rsidRPr="00362781" w:rsidRDefault="00783572" w:rsidP="00F27FA5">
            <w:pPr>
              <w:spacing w:after="0" w:line="240" w:lineRule="auto"/>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 xml:space="preserve">Digital </w:t>
            </w:r>
            <w:proofErr w:type="spellStart"/>
            <w:r w:rsidRPr="00362781">
              <w:rPr>
                <w:rFonts w:ascii="Times New Roman" w:eastAsia="Times New Roman" w:hAnsi="Times New Roman" w:cs="Times New Roman"/>
                <w:b/>
                <w:bCs/>
                <w:color w:val="000000"/>
                <w:lang w:eastAsia="en-ID"/>
              </w:rPr>
              <w:t>transf</w:t>
            </w:r>
            <w:proofErr w:type="spellEnd"/>
            <w:r w:rsidR="008E7C8A" w:rsidRPr="00362781">
              <w:rPr>
                <w:rFonts w:ascii="Times New Roman" w:eastAsia="Times New Roman" w:hAnsi="Times New Roman" w:cs="Times New Roman"/>
                <w:b/>
                <w:bCs/>
                <w:color w:val="000000"/>
                <w:lang w:eastAsia="en-ID"/>
              </w:rPr>
              <w:t xml:space="preserve"> -&gt; Compet</w:t>
            </w:r>
            <w:r w:rsidR="00453D9D" w:rsidRPr="00362781">
              <w:rPr>
                <w:rFonts w:ascii="Times New Roman" w:eastAsia="Times New Roman" w:hAnsi="Times New Roman" w:cs="Times New Roman"/>
                <w:b/>
                <w:bCs/>
                <w:color w:val="000000"/>
                <w:lang w:eastAsia="en-ID"/>
              </w:rPr>
              <w:t>i</w:t>
            </w:r>
            <w:r w:rsidR="008E7C8A" w:rsidRPr="00362781">
              <w:rPr>
                <w:rFonts w:ascii="Times New Roman" w:eastAsia="Times New Roman" w:hAnsi="Times New Roman" w:cs="Times New Roman"/>
                <w:b/>
                <w:bCs/>
                <w:color w:val="000000"/>
                <w:lang w:eastAsia="en-ID"/>
              </w:rPr>
              <w:t>tive advantage</w:t>
            </w:r>
          </w:p>
        </w:tc>
        <w:tc>
          <w:tcPr>
            <w:tcW w:w="0" w:type="auto"/>
            <w:noWrap/>
            <w:vAlign w:val="center"/>
            <w:hideMark/>
          </w:tcPr>
          <w:p w14:paraId="0DC1BFA1" w14:textId="77777777" w:rsidR="008E7C8A" w:rsidRPr="00362781" w:rsidRDefault="00626D2F" w:rsidP="00F27FA5">
            <w:pPr>
              <w:spacing w:after="0" w:line="240" w:lineRule="auto"/>
              <w:jc w:val="center"/>
              <w:rPr>
                <w:rFonts w:ascii="Times New Roman" w:eastAsia="Times New Roman" w:hAnsi="Times New Roman" w:cs="Times New Roman"/>
                <w:color w:val="000000"/>
                <w:lang w:eastAsia="en-ID"/>
              </w:rPr>
            </w:pPr>
            <w:r w:rsidRPr="00362781">
              <w:rPr>
                <w:rFonts w:ascii="Times New Roman" w:eastAsia="Times New Roman" w:hAnsi="Times New Roman" w:cs="Times New Roman"/>
                <w:color w:val="000000"/>
                <w:lang w:eastAsia="en-ID"/>
              </w:rPr>
              <w:t>5,232</w:t>
            </w:r>
          </w:p>
        </w:tc>
        <w:tc>
          <w:tcPr>
            <w:tcW w:w="0" w:type="auto"/>
            <w:noWrap/>
            <w:vAlign w:val="center"/>
            <w:hideMark/>
          </w:tcPr>
          <w:p w14:paraId="5CE13863" w14:textId="77777777" w:rsidR="008E7C8A" w:rsidRPr="00362781" w:rsidRDefault="008E7C8A" w:rsidP="00F27FA5">
            <w:pPr>
              <w:spacing w:after="0" w:line="240" w:lineRule="auto"/>
              <w:jc w:val="center"/>
              <w:rPr>
                <w:rFonts w:ascii="Times New Roman" w:eastAsia="Times New Roman" w:hAnsi="Times New Roman" w:cs="Times New Roman"/>
                <w:b/>
                <w:bCs/>
                <w:color w:val="008000"/>
                <w:lang w:eastAsia="en-ID"/>
              </w:rPr>
            </w:pPr>
            <w:r w:rsidRPr="00362781">
              <w:rPr>
                <w:rFonts w:ascii="Times New Roman" w:eastAsia="Times New Roman" w:hAnsi="Times New Roman" w:cs="Times New Roman"/>
                <w:b/>
                <w:bCs/>
                <w:color w:val="008000"/>
                <w:lang w:eastAsia="en-ID"/>
              </w:rPr>
              <w:t>0,000</w:t>
            </w:r>
          </w:p>
        </w:tc>
        <w:tc>
          <w:tcPr>
            <w:tcW w:w="0" w:type="auto"/>
            <w:vAlign w:val="center"/>
          </w:tcPr>
          <w:p w14:paraId="473D10F2" w14:textId="77777777" w:rsidR="008E7C8A" w:rsidRPr="00362781" w:rsidRDefault="008E7C8A" w:rsidP="00F27FA5">
            <w:pPr>
              <w:spacing w:after="0" w:line="240" w:lineRule="auto"/>
              <w:jc w:val="center"/>
              <w:rPr>
                <w:rFonts w:ascii="Times New Roman" w:eastAsia="Times New Roman" w:hAnsi="Times New Roman" w:cs="Times New Roman"/>
                <w:b/>
                <w:bCs/>
                <w:color w:val="008000"/>
                <w:lang w:eastAsia="en-ID"/>
              </w:rPr>
            </w:pPr>
            <w:r w:rsidRPr="00362781">
              <w:rPr>
                <w:rFonts w:ascii="Times New Roman" w:eastAsia="Times New Roman" w:hAnsi="Times New Roman" w:cs="Times New Roman"/>
                <w:b/>
                <w:bCs/>
                <w:color w:val="008000"/>
                <w:lang w:eastAsia="en-ID"/>
              </w:rPr>
              <w:t>Supported</w:t>
            </w:r>
          </w:p>
        </w:tc>
      </w:tr>
      <w:tr w:rsidR="008E7C8A" w:rsidRPr="00362781" w14:paraId="1509BE36" w14:textId="77777777" w:rsidTr="00F27FA5">
        <w:trPr>
          <w:trHeight w:val="290"/>
          <w:jc w:val="center"/>
        </w:trPr>
        <w:tc>
          <w:tcPr>
            <w:tcW w:w="0" w:type="auto"/>
            <w:noWrap/>
            <w:vAlign w:val="center"/>
            <w:hideMark/>
          </w:tcPr>
          <w:p w14:paraId="39C33A47" w14:textId="77777777" w:rsidR="008E7C8A" w:rsidRPr="00362781" w:rsidRDefault="008E7C8A" w:rsidP="00F27FA5">
            <w:pPr>
              <w:spacing w:after="0" w:line="240" w:lineRule="auto"/>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Incoterm -&gt; Compet</w:t>
            </w:r>
            <w:r w:rsidR="00453D9D" w:rsidRPr="00362781">
              <w:rPr>
                <w:rFonts w:ascii="Times New Roman" w:eastAsia="Times New Roman" w:hAnsi="Times New Roman" w:cs="Times New Roman"/>
                <w:b/>
                <w:bCs/>
                <w:color w:val="000000"/>
                <w:lang w:eastAsia="en-ID"/>
              </w:rPr>
              <w:t>i</w:t>
            </w:r>
            <w:r w:rsidRPr="00362781">
              <w:rPr>
                <w:rFonts w:ascii="Times New Roman" w:eastAsia="Times New Roman" w:hAnsi="Times New Roman" w:cs="Times New Roman"/>
                <w:b/>
                <w:bCs/>
                <w:color w:val="000000"/>
                <w:lang w:eastAsia="en-ID"/>
              </w:rPr>
              <w:t>tive advantage</w:t>
            </w:r>
          </w:p>
        </w:tc>
        <w:tc>
          <w:tcPr>
            <w:tcW w:w="0" w:type="auto"/>
            <w:noWrap/>
            <w:vAlign w:val="center"/>
            <w:hideMark/>
          </w:tcPr>
          <w:p w14:paraId="119F8B5D" w14:textId="77777777" w:rsidR="008E7C8A" w:rsidRPr="00362781" w:rsidRDefault="00626D2F" w:rsidP="00F27FA5">
            <w:pPr>
              <w:spacing w:after="0" w:line="240" w:lineRule="auto"/>
              <w:jc w:val="center"/>
              <w:rPr>
                <w:rFonts w:ascii="Times New Roman" w:eastAsia="Times New Roman" w:hAnsi="Times New Roman" w:cs="Times New Roman"/>
                <w:color w:val="000000"/>
                <w:lang w:eastAsia="en-ID"/>
              </w:rPr>
            </w:pPr>
            <w:r w:rsidRPr="00362781">
              <w:rPr>
                <w:rFonts w:ascii="Times New Roman" w:eastAsia="Times New Roman" w:hAnsi="Times New Roman" w:cs="Times New Roman"/>
                <w:color w:val="000000"/>
                <w:lang w:eastAsia="en-ID"/>
              </w:rPr>
              <w:t>5,119</w:t>
            </w:r>
          </w:p>
        </w:tc>
        <w:tc>
          <w:tcPr>
            <w:tcW w:w="0" w:type="auto"/>
            <w:noWrap/>
            <w:vAlign w:val="center"/>
            <w:hideMark/>
          </w:tcPr>
          <w:p w14:paraId="30B232E5" w14:textId="77777777" w:rsidR="008E7C8A" w:rsidRPr="00362781" w:rsidRDefault="008E7C8A" w:rsidP="00F27FA5">
            <w:pPr>
              <w:spacing w:after="0" w:line="240" w:lineRule="auto"/>
              <w:jc w:val="center"/>
              <w:rPr>
                <w:rFonts w:ascii="Times New Roman" w:eastAsia="Times New Roman" w:hAnsi="Times New Roman" w:cs="Times New Roman"/>
                <w:b/>
                <w:bCs/>
                <w:color w:val="008000"/>
                <w:lang w:eastAsia="en-ID"/>
              </w:rPr>
            </w:pPr>
            <w:r w:rsidRPr="00362781">
              <w:rPr>
                <w:rFonts w:ascii="Times New Roman" w:eastAsia="Times New Roman" w:hAnsi="Times New Roman" w:cs="Times New Roman"/>
                <w:b/>
                <w:bCs/>
                <w:color w:val="008000"/>
                <w:lang w:eastAsia="en-ID"/>
              </w:rPr>
              <w:t>0,000</w:t>
            </w:r>
          </w:p>
        </w:tc>
        <w:tc>
          <w:tcPr>
            <w:tcW w:w="0" w:type="auto"/>
            <w:vAlign w:val="center"/>
          </w:tcPr>
          <w:p w14:paraId="3F57594D" w14:textId="77777777" w:rsidR="008E7C8A" w:rsidRPr="00362781" w:rsidRDefault="008E7C8A" w:rsidP="00F27FA5">
            <w:pPr>
              <w:spacing w:after="0" w:line="240" w:lineRule="auto"/>
              <w:jc w:val="center"/>
              <w:rPr>
                <w:rFonts w:ascii="Times New Roman" w:eastAsia="Times New Roman" w:hAnsi="Times New Roman" w:cs="Times New Roman"/>
                <w:b/>
                <w:bCs/>
                <w:color w:val="008000"/>
                <w:lang w:eastAsia="en-ID"/>
              </w:rPr>
            </w:pPr>
            <w:r w:rsidRPr="00362781">
              <w:rPr>
                <w:rFonts w:ascii="Times New Roman" w:eastAsia="Times New Roman" w:hAnsi="Times New Roman" w:cs="Times New Roman"/>
                <w:b/>
                <w:bCs/>
                <w:color w:val="008000"/>
                <w:lang w:eastAsia="en-ID"/>
              </w:rPr>
              <w:t>Supported</w:t>
            </w:r>
          </w:p>
        </w:tc>
      </w:tr>
    </w:tbl>
    <w:p w14:paraId="404DE411" w14:textId="7C6748C4" w:rsidR="00362781" w:rsidRDefault="008E7C8A" w:rsidP="00F27FA5">
      <w:pPr>
        <w:autoSpaceDE w:val="0"/>
        <w:autoSpaceDN w:val="0"/>
        <w:adjustRightInd w:val="0"/>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Source: Printout PLS,2025</w:t>
      </w:r>
    </w:p>
    <w:p w14:paraId="58A6E643" w14:textId="3173BE07" w:rsidR="00FF56FA" w:rsidRPr="000004DB" w:rsidRDefault="008E7C8A" w:rsidP="00362781">
      <w:pPr>
        <w:spacing w:after="0" w:line="276" w:lineRule="auto"/>
        <w:ind w:firstLine="720"/>
        <w:jc w:val="both"/>
        <w:rPr>
          <w:rFonts w:ascii="Times New Roman" w:hAnsi="Times New Roman" w:cs="Times New Roman"/>
          <w:sz w:val="24"/>
          <w:szCs w:val="24"/>
        </w:rPr>
      </w:pPr>
      <w:r w:rsidRPr="000004DB">
        <w:rPr>
          <w:rFonts w:ascii="Times New Roman" w:hAnsi="Times New Roman" w:cs="Times New Roman"/>
          <w:sz w:val="24"/>
          <w:szCs w:val="24"/>
        </w:rPr>
        <w:t>Based on the results of data processing using PLS on 125 respondents, both research hypotheses were statistically supported.</w:t>
      </w:r>
      <w:r w:rsidR="00FC6D9A" w:rsidRPr="000004DB">
        <w:rPr>
          <w:rFonts w:ascii="Times New Roman" w:hAnsi="Times New Roman" w:cs="Times New Roman"/>
          <w:sz w:val="24"/>
          <w:szCs w:val="24"/>
        </w:rPr>
        <w:t xml:space="preserve"> </w:t>
      </w:r>
      <w:r w:rsidR="00E00A52"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First, the variable </w:t>
      </w:r>
      <w:r w:rsidR="00626D2F" w:rsidRPr="000004DB">
        <w:rPr>
          <w:rFonts w:ascii="Times New Roman" w:hAnsi="Times New Roman" w:cs="Times New Roman"/>
          <w:sz w:val="24"/>
          <w:szCs w:val="24"/>
        </w:rPr>
        <w:t>digital transformation</w:t>
      </w:r>
      <w:r w:rsidRPr="000004DB">
        <w:rPr>
          <w:rFonts w:ascii="Times New Roman" w:hAnsi="Times New Roman" w:cs="Times New Roman"/>
          <w:sz w:val="24"/>
          <w:szCs w:val="24"/>
        </w:rPr>
        <w:t xml:space="preserve"> → Competitive Advantage showed a t-statistic of </w:t>
      </w:r>
      <w:r w:rsidR="00626D2F" w:rsidRPr="000004DB">
        <w:rPr>
          <w:rFonts w:ascii="Times New Roman" w:hAnsi="Times New Roman" w:cs="Times New Roman"/>
          <w:sz w:val="24"/>
          <w:szCs w:val="24"/>
        </w:rPr>
        <w:t>5.232</w:t>
      </w:r>
      <w:r w:rsidRPr="000004DB">
        <w:rPr>
          <w:rFonts w:ascii="Times New Roman" w:hAnsi="Times New Roman" w:cs="Times New Roman"/>
          <w:sz w:val="24"/>
          <w:szCs w:val="24"/>
        </w:rPr>
        <w:t xml:space="preserve"> (&gt;1.96) with a p-value of 0.000 (&lt;0.05).</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indicates that </w:t>
      </w:r>
      <w:r w:rsidR="00626D2F" w:rsidRPr="000004DB">
        <w:rPr>
          <w:rFonts w:ascii="Times New Roman" w:hAnsi="Times New Roman" w:cs="Times New Roman"/>
          <w:sz w:val="24"/>
          <w:szCs w:val="24"/>
        </w:rPr>
        <w:t>digital transformation</w:t>
      </w:r>
      <w:r w:rsidRPr="000004DB">
        <w:rPr>
          <w:rFonts w:ascii="Times New Roman" w:hAnsi="Times New Roman" w:cs="Times New Roman"/>
          <w:sz w:val="24"/>
          <w:szCs w:val="24"/>
        </w:rPr>
        <w:t xml:space="preserve"> has a positive and significant effect on competitive advantage.</w:t>
      </w:r>
      <w:r w:rsidR="00FC6D9A" w:rsidRPr="000004DB">
        <w:rPr>
          <w:rFonts w:ascii="Times New Roman" w:hAnsi="Times New Roman" w:cs="Times New Roman"/>
          <w:sz w:val="24"/>
          <w:szCs w:val="24"/>
        </w:rPr>
        <w:t xml:space="preserve"> </w:t>
      </w:r>
      <w:r w:rsidR="00E00A52"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Second, the variable Incoterms Selection → Competitive Advantage also showed significant results with a t-statistic of </w:t>
      </w:r>
      <w:r w:rsidR="00626D2F" w:rsidRPr="000004DB">
        <w:rPr>
          <w:rFonts w:ascii="Times New Roman" w:hAnsi="Times New Roman" w:cs="Times New Roman"/>
          <w:sz w:val="24"/>
          <w:szCs w:val="24"/>
        </w:rPr>
        <w:t>5.119</w:t>
      </w:r>
      <w:r w:rsidRPr="000004DB">
        <w:rPr>
          <w:rFonts w:ascii="Times New Roman" w:hAnsi="Times New Roman" w:cs="Times New Roman"/>
          <w:sz w:val="24"/>
          <w:szCs w:val="24"/>
        </w:rPr>
        <w:t xml:space="preserve"> (&gt;1.96) and a p-value of 0.000 (&lt;0.05).</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confirms that </w:t>
      </w:r>
      <w:r w:rsidR="00FC6D9A" w:rsidRPr="000004DB">
        <w:rPr>
          <w:rFonts w:ascii="Times New Roman" w:hAnsi="Times New Roman" w:cs="Times New Roman"/>
          <w:sz w:val="24"/>
          <w:szCs w:val="24"/>
        </w:rPr>
        <w:t>the selection of Incoterms</w:t>
      </w:r>
      <w:r w:rsidRPr="000004DB">
        <w:rPr>
          <w:rFonts w:ascii="Times New Roman" w:hAnsi="Times New Roman" w:cs="Times New Roman"/>
          <w:sz w:val="24"/>
          <w:szCs w:val="24"/>
        </w:rPr>
        <w:t xml:space="preserve"> has a positive and significant effect on competitive advantage.</w:t>
      </w:r>
      <w:r w:rsidR="00FC6D9A"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 xml:space="preserve"> </w:t>
      </w:r>
      <w:r w:rsidRPr="000004DB">
        <w:rPr>
          <w:rFonts w:ascii="Times New Roman" w:hAnsi="Times New Roman" w:cs="Times New Roman"/>
          <w:sz w:val="24"/>
          <w:szCs w:val="24"/>
        </w:rPr>
        <w:t>Therefore, it can be concluded that all hypotheses (H1 and H2) are supported based on the statistical test results.</w:t>
      </w:r>
    </w:p>
    <w:p w14:paraId="770EA301" w14:textId="77777777" w:rsidR="00362781" w:rsidRDefault="00362781" w:rsidP="00AE1636">
      <w:pPr>
        <w:tabs>
          <w:tab w:val="left" w:pos="1134"/>
        </w:tabs>
        <w:spacing w:after="0" w:line="276" w:lineRule="auto"/>
        <w:jc w:val="both"/>
        <w:rPr>
          <w:rFonts w:ascii="Times New Roman" w:hAnsi="Times New Roman" w:cs="Times New Roman"/>
          <w:sz w:val="24"/>
          <w:szCs w:val="24"/>
        </w:rPr>
      </w:pPr>
    </w:p>
    <w:p w14:paraId="15DC7315" w14:textId="511D95F4" w:rsidR="00EA53C5" w:rsidRPr="00362781" w:rsidRDefault="00EA53C5" w:rsidP="00AE1636">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 xml:space="preserve">R Square result </w:t>
      </w:r>
    </w:p>
    <w:p w14:paraId="01D51FAF" w14:textId="553F4E1F" w:rsidR="00EF168C" w:rsidRPr="00362781" w:rsidRDefault="00EF168C" w:rsidP="00AE1636">
      <w:pPr>
        <w:autoSpaceDE w:val="0"/>
        <w:autoSpaceDN w:val="0"/>
        <w:adjustRightInd w:val="0"/>
        <w:spacing w:after="0" w:line="276" w:lineRule="auto"/>
        <w:jc w:val="center"/>
        <w:rPr>
          <w:rFonts w:ascii="Times New Roman" w:hAnsi="Times New Roman" w:cs="Times New Roman"/>
          <w:i/>
          <w:iCs/>
          <w:sz w:val="24"/>
          <w:szCs w:val="24"/>
        </w:rPr>
      </w:pPr>
      <w:r w:rsidRPr="00362781">
        <w:rPr>
          <w:rFonts w:ascii="Times New Roman" w:hAnsi="Times New Roman" w:cs="Times New Roman"/>
          <w:sz w:val="24"/>
          <w:szCs w:val="24"/>
        </w:rPr>
        <w:t xml:space="preserve">Table </w:t>
      </w:r>
      <w:r w:rsidR="00ED2B30" w:rsidRPr="00362781">
        <w:rPr>
          <w:rFonts w:ascii="Times New Roman" w:hAnsi="Times New Roman" w:cs="Times New Roman"/>
          <w:sz w:val="24"/>
          <w:szCs w:val="24"/>
        </w:rPr>
        <w:t>4</w:t>
      </w:r>
      <w:r w:rsidR="00453D9D" w:rsidRPr="00362781">
        <w:rPr>
          <w:rFonts w:ascii="Times New Roman" w:hAnsi="Times New Roman" w:cs="Times New Roman"/>
          <w:sz w:val="24"/>
          <w:szCs w:val="24"/>
        </w:rPr>
        <w:t>:</w:t>
      </w:r>
      <w:r w:rsidRPr="00362781">
        <w:rPr>
          <w:rFonts w:ascii="Times New Roman" w:hAnsi="Times New Roman" w:cs="Times New Roman"/>
          <w:i/>
          <w:iCs/>
          <w:sz w:val="24"/>
          <w:szCs w:val="24"/>
        </w:rPr>
        <w:t xml:space="preserve"> Square result</w:t>
      </w:r>
    </w:p>
    <w:tbl>
      <w:tblPr>
        <w:tblW w:w="5000" w:type="pct"/>
        <w:jc w:val="center"/>
        <w:tblBorders>
          <w:top w:val="single" w:sz="4" w:space="0" w:color="auto"/>
          <w:bottom w:val="single" w:sz="4" w:space="0" w:color="auto"/>
        </w:tblBorders>
        <w:tblLook w:val="04A0" w:firstRow="1" w:lastRow="0" w:firstColumn="1" w:lastColumn="0" w:noHBand="0" w:noVBand="1"/>
      </w:tblPr>
      <w:tblGrid>
        <w:gridCol w:w="2897"/>
        <w:gridCol w:w="2742"/>
        <w:gridCol w:w="3387"/>
      </w:tblGrid>
      <w:tr w:rsidR="00ED2B30" w:rsidRPr="00362781" w14:paraId="2D7108E4" w14:textId="77777777" w:rsidTr="00F27FA5">
        <w:trPr>
          <w:trHeight w:val="290"/>
          <w:jc w:val="center"/>
        </w:trPr>
        <w:tc>
          <w:tcPr>
            <w:tcW w:w="1605" w:type="pct"/>
            <w:noWrap/>
            <w:vAlign w:val="center"/>
            <w:hideMark/>
          </w:tcPr>
          <w:p w14:paraId="682D28EE" w14:textId="77777777" w:rsidR="00ED2B30" w:rsidRPr="00362781" w:rsidRDefault="00ED2B30" w:rsidP="00F27FA5">
            <w:pPr>
              <w:spacing w:after="0" w:line="240" w:lineRule="auto"/>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Variable</w:t>
            </w:r>
          </w:p>
        </w:tc>
        <w:tc>
          <w:tcPr>
            <w:tcW w:w="1519" w:type="pct"/>
            <w:noWrap/>
            <w:vAlign w:val="center"/>
            <w:hideMark/>
          </w:tcPr>
          <w:p w14:paraId="278820AF" w14:textId="77777777" w:rsidR="00ED2B30" w:rsidRPr="00362781" w:rsidRDefault="00ED2B30"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R Square</w:t>
            </w:r>
          </w:p>
        </w:tc>
        <w:tc>
          <w:tcPr>
            <w:tcW w:w="1876" w:type="pct"/>
            <w:noWrap/>
            <w:vAlign w:val="center"/>
            <w:hideMark/>
          </w:tcPr>
          <w:p w14:paraId="2C5AAB79" w14:textId="77777777" w:rsidR="00ED2B30" w:rsidRPr="00362781" w:rsidRDefault="00ED2B30" w:rsidP="00F27FA5">
            <w:pPr>
              <w:spacing w:after="0" w:line="240" w:lineRule="auto"/>
              <w:jc w:val="center"/>
              <w:rPr>
                <w:rFonts w:ascii="Times New Roman" w:eastAsia="Times New Roman" w:hAnsi="Times New Roman" w:cs="Times New Roman"/>
                <w:b/>
                <w:bCs/>
                <w:color w:val="000000"/>
                <w:lang w:eastAsia="en-ID"/>
              </w:rPr>
            </w:pPr>
            <w:r w:rsidRPr="00362781">
              <w:rPr>
                <w:rFonts w:ascii="Times New Roman" w:eastAsia="Times New Roman" w:hAnsi="Times New Roman" w:cs="Times New Roman"/>
                <w:b/>
                <w:bCs/>
                <w:color w:val="000000"/>
                <w:lang w:eastAsia="en-ID"/>
              </w:rPr>
              <w:t>R Square Adjusted</w:t>
            </w:r>
          </w:p>
        </w:tc>
      </w:tr>
      <w:tr w:rsidR="00ED2B30" w:rsidRPr="00362781" w14:paraId="6ACA320D" w14:textId="77777777" w:rsidTr="00F27FA5">
        <w:trPr>
          <w:trHeight w:val="290"/>
          <w:jc w:val="center"/>
        </w:trPr>
        <w:tc>
          <w:tcPr>
            <w:tcW w:w="1605" w:type="pct"/>
            <w:noWrap/>
            <w:vAlign w:val="center"/>
            <w:hideMark/>
          </w:tcPr>
          <w:p w14:paraId="646ED4B0" w14:textId="77777777" w:rsidR="00ED2B30" w:rsidRPr="00362781" w:rsidRDefault="00ED2B30" w:rsidP="00F27FA5">
            <w:pPr>
              <w:spacing w:after="0" w:line="240" w:lineRule="auto"/>
              <w:rPr>
                <w:rFonts w:ascii="Times New Roman" w:eastAsia="Times New Roman" w:hAnsi="Times New Roman" w:cs="Times New Roman"/>
                <w:b/>
                <w:bCs/>
                <w:color w:val="000000"/>
                <w:lang w:eastAsia="en-ID"/>
              </w:rPr>
            </w:pPr>
            <w:proofErr w:type="spellStart"/>
            <w:r w:rsidRPr="00362781">
              <w:rPr>
                <w:rFonts w:ascii="Times New Roman" w:eastAsia="Times New Roman" w:hAnsi="Times New Roman" w:cs="Times New Roman"/>
                <w:b/>
                <w:bCs/>
                <w:color w:val="000000"/>
                <w:lang w:eastAsia="en-ID"/>
              </w:rPr>
              <w:t>Competetive</w:t>
            </w:r>
            <w:proofErr w:type="spellEnd"/>
            <w:r w:rsidRPr="00362781">
              <w:rPr>
                <w:rFonts w:ascii="Times New Roman" w:eastAsia="Times New Roman" w:hAnsi="Times New Roman" w:cs="Times New Roman"/>
                <w:b/>
                <w:bCs/>
                <w:color w:val="000000"/>
                <w:lang w:eastAsia="en-ID"/>
              </w:rPr>
              <w:t xml:space="preserve"> advantage</w:t>
            </w:r>
          </w:p>
        </w:tc>
        <w:tc>
          <w:tcPr>
            <w:tcW w:w="1519" w:type="pct"/>
            <w:noWrap/>
            <w:vAlign w:val="center"/>
            <w:hideMark/>
          </w:tcPr>
          <w:p w14:paraId="0AE2572E" w14:textId="77777777" w:rsidR="00ED2B30" w:rsidRPr="00362781" w:rsidRDefault="00ED2B30" w:rsidP="00F27FA5">
            <w:pPr>
              <w:spacing w:after="0" w:line="240" w:lineRule="auto"/>
              <w:jc w:val="center"/>
              <w:rPr>
                <w:rFonts w:ascii="Times New Roman" w:eastAsia="Times New Roman" w:hAnsi="Times New Roman" w:cs="Times New Roman"/>
                <w:color w:val="000000"/>
                <w:lang w:eastAsia="en-ID"/>
              </w:rPr>
            </w:pPr>
            <w:r w:rsidRPr="00362781">
              <w:rPr>
                <w:rFonts w:ascii="Times New Roman" w:eastAsia="Times New Roman" w:hAnsi="Times New Roman" w:cs="Times New Roman"/>
                <w:color w:val="000000"/>
                <w:lang w:eastAsia="en-ID"/>
              </w:rPr>
              <w:t>0,947</w:t>
            </w:r>
          </w:p>
        </w:tc>
        <w:tc>
          <w:tcPr>
            <w:tcW w:w="1876" w:type="pct"/>
            <w:noWrap/>
            <w:vAlign w:val="center"/>
            <w:hideMark/>
          </w:tcPr>
          <w:p w14:paraId="28374120" w14:textId="77777777" w:rsidR="00ED2B30" w:rsidRPr="00362781" w:rsidRDefault="00ED2B30" w:rsidP="00F27FA5">
            <w:pPr>
              <w:spacing w:after="0" w:line="240" w:lineRule="auto"/>
              <w:jc w:val="center"/>
              <w:rPr>
                <w:rFonts w:ascii="Times New Roman" w:eastAsia="Times New Roman" w:hAnsi="Times New Roman" w:cs="Times New Roman"/>
                <w:color w:val="000000"/>
                <w:lang w:eastAsia="en-ID"/>
              </w:rPr>
            </w:pPr>
            <w:r w:rsidRPr="00362781">
              <w:rPr>
                <w:rFonts w:ascii="Times New Roman" w:eastAsia="Times New Roman" w:hAnsi="Times New Roman" w:cs="Times New Roman"/>
                <w:color w:val="000000"/>
                <w:lang w:eastAsia="en-ID"/>
              </w:rPr>
              <w:t>0,946</w:t>
            </w:r>
          </w:p>
        </w:tc>
      </w:tr>
    </w:tbl>
    <w:p w14:paraId="15410154" w14:textId="428D2947" w:rsidR="00E00A52" w:rsidRPr="000004DB" w:rsidRDefault="00ED2B30" w:rsidP="00F27FA5">
      <w:pPr>
        <w:autoSpaceDE w:val="0"/>
        <w:autoSpaceDN w:val="0"/>
        <w:adjustRightInd w:val="0"/>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Source: Printout PLS,2025</w:t>
      </w:r>
    </w:p>
    <w:p w14:paraId="0B707ECA" w14:textId="3C7555BF" w:rsidR="00F27FA5" w:rsidRPr="000004DB" w:rsidRDefault="00E00A52" w:rsidP="00F27FA5">
      <w:pPr>
        <w:autoSpaceDE w:val="0"/>
        <w:autoSpaceDN w:val="0"/>
        <w:adjustRightInd w:val="0"/>
        <w:spacing w:after="0" w:line="276" w:lineRule="auto"/>
        <w:ind w:firstLine="720"/>
        <w:jc w:val="both"/>
        <w:rPr>
          <w:rFonts w:ascii="Times New Roman" w:hAnsi="Times New Roman" w:cs="Times New Roman"/>
          <w:sz w:val="24"/>
          <w:szCs w:val="24"/>
        </w:rPr>
      </w:pPr>
      <w:r w:rsidRPr="000004DB">
        <w:rPr>
          <w:rFonts w:ascii="Times New Roman" w:hAnsi="Times New Roman" w:cs="Times New Roman"/>
          <w:sz w:val="24"/>
          <w:szCs w:val="24"/>
        </w:rPr>
        <w:t>Based on the results of data processing using PLS, the R-square value for the Competitive Advantage variable was 0.947, with an Adjusted R-square of 0.946.</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value indicates that 94.7% of the variation in Competitive Advantage can be explained by two independent variables, namely </w:t>
      </w:r>
      <w:r w:rsidR="00626D2F" w:rsidRPr="000004DB">
        <w:rPr>
          <w:rFonts w:ascii="Times New Roman" w:hAnsi="Times New Roman" w:cs="Times New Roman"/>
          <w:sz w:val="24"/>
          <w:szCs w:val="24"/>
        </w:rPr>
        <w:t xml:space="preserve">Digital Transformation and </w:t>
      </w:r>
      <w:r w:rsidRPr="000004DB">
        <w:rPr>
          <w:rFonts w:ascii="Times New Roman" w:hAnsi="Times New Roman" w:cs="Times New Roman"/>
          <w:sz w:val="24"/>
          <w:szCs w:val="24"/>
        </w:rPr>
        <w:t>Incoterms Selection</w:t>
      </w:r>
      <w:r w:rsidR="00453D9D"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 xml:space="preserve"> In comparison,</w:t>
      </w:r>
      <w:r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other factors outside this research model explain the remaining 5.3%</w:t>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With a very high R² value (&gt;0.75), this model can be categorized as having a strong coefficient of determination, indicating that the constructs in the model </w:t>
      </w:r>
      <w:r w:rsidR="00E6095B" w:rsidRPr="000004DB">
        <w:rPr>
          <w:rFonts w:ascii="Times New Roman" w:hAnsi="Times New Roman" w:cs="Times New Roman"/>
          <w:sz w:val="24"/>
          <w:szCs w:val="24"/>
        </w:rPr>
        <w:t>can</w:t>
      </w:r>
      <w:r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explain the relationships between variables significantly</w:t>
      </w:r>
      <w:r w:rsidRPr="000004DB">
        <w:rPr>
          <w:rFonts w:ascii="Times New Roman" w:hAnsi="Times New Roman" w:cs="Times New Roman"/>
          <w:sz w:val="24"/>
          <w:szCs w:val="24"/>
        </w:rPr>
        <w:t>.</w:t>
      </w:r>
    </w:p>
    <w:p w14:paraId="3B1DF4F1" w14:textId="77777777" w:rsidR="00EF168C" w:rsidRPr="000004DB" w:rsidRDefault="00EF168C" w:rsidP="00AE1636">
      <w:pPr>
        <w:tabs>
          <w:tab w:val="left" w:pos="1134"/>
        </w:tabs>
        <w:spacing w:after="0" w:line="276" w:lineRule="auto"/>
        <w:jc w:val="center"/>
        <w:rPr>
          <w:rFonts w:ascii="Times New Roman" w:hAnsi="Times New Roman" w:cs="Times New Roman"/>
          <w:sz w:val="24"/>
          <w:szCs w:val="24"/>
        </w:rPr>
      </w:pPr>
      <w:r w:rsidRPr="000004DB">
        <w:rPr>
          <w:rFonts w:ascii="Times New Roman" w:hAnsi="Times New Roman" w:cs="Times New Roman"/>
          <w:b/>
          <w:bCs/>
          <w:sz w:val="24"/>
          <w:szCs w:val="24"/>
        </w:rPr>
        <w:t xml:space="preserve">Table </w:t>
      </w:r>
      <w:r w:rsidR="00E00A52" w:rsidRPr="000004DB">
        <w:rPr>
          <w:rFonts w:ascii="Times New Roman" w:hAnsi="Times New Roman" w:cs="Times New Roman"/>
          <w:b/>
          <w:bCs/>
          <w:sz w:val="24"/>
          <w:szCs w:val="24"/>
        </w:rPr>
        <w:t>5</w:t>
      </w:r>
      <w:r w:rsidR="00453D9D" w:rsidRPr="000004DB">
        <w:rPr>
          <w:rFonts w:ascii="Times New Roman" w:hAnsi="Times New Roman" w:cs="Times New Roman"/>
          <w:b/>
          <w:bCs/>
          <w:sz w:val="24"/>
          <w:szCs w:val="24"/>
        </w:rPr>
        <w:t xml:space="preserve">: </w:t>
      </w:r>
      <w:r w:rsidR="00453D9D" w:rsidRPr="000004DB">
        <w:rPr>
          <w:rFonts w:ascii="Times New Roman" w:hAnsi="Times New Roman" w:cs="Times New Roman"/>
          <w:sz w:val="24"/>
          <w:szCs w:val="24"/>
        </w:rPr>
        <w:t>The effect of Incoterm selection and HR Competence on Competitive A</w:t>
      </w:r>
      <w:r w:rsidR="00CA283D" w:rsidRPr="000004DB">
        <w:rPr>
          <w:rFonts w:ascii="Times New Roman" w:hAnsi="Times New Roman" w:cs="Times New Roman"/>
          <w:sz w:val="24"/>
          <w:szCs w:val="24"/>
        </w:rPr>
        <w:t>dvantage</w:t>
      </w:r>
      <w:r w:rsidRPr="000004DB">
        <w:rPr>
          <w:rFonts w:ascii="Times New Roman" w:hAnsi="Times New Roman" w:cs="Times New Roman"/>
          <w:sz w:val="24"/>
          <w:szCs w:val="24"/>
        </w:rPr>
        <w: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60"/>
        <w:gridCol w:w="1341"/>
        <w:gridCol w:w="1212"/>
        <w:gridCol w:w="1843"/>
        <w:gridCol w:w="1570"/>
        <w:gridCol w:w="700"/>
      </w:tblGrid>
      <w:tr w:rsidR="00E00A52" w:rsidRPr="00362781" w14:paraId="0CE413CE" w14:textId="77777777" w:rsidTr="00F27FA5">
        <w:trPr>
          <w:trHeight w:val="20"/>
          <w:jc w:val="center"/>
        </w:trPr>
        <w:tc>
          <w:tcPr>
            <w:tcW w:w="0" w:type="auto"/>
            <w:noWrap/>
            <w:vAlign w:val="center"/>
            <w:hideMark/>
          </w:tcPr>
          <w:p w14:paraId="074A8B49"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Variable</w:t>
            </w:r>
          </w:p>
        </w:tc>
        <w:tc>
          <w:tcPr>
            <w:tcW w:w="0" w:type="auto"/>
            <w:noWrap/>
            <w:vAlign w:val="center"/>
            <w:hideMark/>
          </w:tcPr>
          <w:p w14:paraId="51CE18CE"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Original Sample (O)</w:t>
            </w:r>
          </w:p>
        </w:tc>
        <w:tc>
          <w:tcPr>
            <w:tcW w:w="0" w:type="auto"/>
            <w:noWrap/>
            <w:vAlign w:val="center"/>
            <w:hideMark/>
          </w:tcPr>
          <w:p w14:paraId="6A9A73E5"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Sample Mean (M)</w:t>
            </w:r>
          </w:p>
        </w:tc>
        <w:tc>
          <w:tcPr>
            <w:tcW w:w="0" w:type="auto"/>
            <w:noWrap/>
            <w:vAlign w:val="center"/>
            <w:hideMark/>
          </w:tcPr>
          <w:p w14:paraId="425D08F5"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Standard Deviation (STDEV)</w:t>
            </w:r>
          </w:p>
        </w:tc>
        <w:tc>
          <w:tcPr>
            <w:tcW w:w="0" w:type="auto"/>
            <w:noWrap/>
            <w:vAlign w:val="center"/>
            <w:hideMark/>
          </w:tcPr>
          <w:p w14:paraId="062D8702"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T Statistics (|O/STDEV|)</w:t>
            </w:r>
          </w:p>
        </w:tc>
        <w:tc>
          <w:tcPr>
            <w:tcW w:w="0" w:type="auto"/>
            <w:noWrap/>
            <w:vAlign w:val="center"/>
            <w:hideMark/>
          </w:tcPr>
          <w:p w14:paraId="1BA10FB3" w14:textId="77777777" w:rsidR="00E00A52" w:rsidRPr="00362781" w:rsidRDefault="00E00A52" w:rsidP="00F27FA5">
            <w:pPr>
              <w:spacing w:after="0" w:line="240" w:lineRule="auto"/>
              <w:jc w:val="center"/>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P Values</w:t>
            </w:r>
          </w:p>
        </w:tc>
      </w:tr>
      <w:tr w:rsidR="00E00A52" w:rsidRPr="00362781" w14:paraId="16A36BDF" w14:textId="77777777" w:rsidTr="00F27FA5">
        <w:trPr>
          <w:trHeight w:val="20"/>
          <w:jc w:val="center"/>
        </w:trPr>
        <w:tc>
          <w:tcPr>
            <w:tcW w:w="0" w:type="auto"/>
            <w:noWrap/>
            <w:vAlign w:val="center"/>
            <w:hideMark/>
          </w:tcPr>
          <w:p w14:paraId="24D88E25" w14:textId="77777777" w:rsidR="00E00A52" w:rsidRPr="00362781" w:rsidRDefault="00626D2F" w:rsidP="00F27FA5">
            <w:pPr>
              <w:spacing w:after="0" w:line="240" w:lineRule="auto"/>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Digital trans</w:t>
            </w:r>
            <w:r w:rsidR="00E00A52" w:rsidRPr="00362781">
              <w:rPr>
                <w:rFonts w:ascii="Times New Roman" w:eastAsia="Times New Roman" w:hAnsi="Times New Roman" w:cs="Times New Roman"/>
                <w:b/>
                <w:bCs/>
                <w:color w:val="000000"/>
                <w:sz w:val="20"/>
                <w:szCs w:val="20"/>
                <w:lang w:eastAsia="en-ID"/>
              </w:rPr>
              <w:t xml:space="preserve"> -&gt; Compet</w:t>
            </w:r>
            <w:r w:rsidR="00453D9D" w:rsidRPr="00362781">
              <w:rPr>
                <w:rFonts w:ascii="Times New Roman" w:eastAsia="Times New Roman" w:hAnsi="Times New Roman" w:cs="Times New Roman"/>
                <w:b/>
                <w:bCs/>
                <w:color w:val="000000"/>
                <w:sz w:val="20"/>
                <w:szCs w:val="20"/>
                <w:lang w:eastAsia="en-ID"/>
              </w:rPr>
              <w:t>i</w:t>
            </w:r>
            <w:r w:rsidR="00E00A52" w:rsidRPr="00362781">
              <w:rPr>
                <w:rFonts w:ascii="Times New Roman" w:eastAsia="Times New Roman" w:hAnsi="Times New Roman" w:cs="Times New Roman"/>
                <w:b/>
                <w:bCs/>
                <w:color w:val="000000"/>
                <w:sz w:val="20"/>
                <w:szCs w:val="20"/>
                <w:lang w:eastAsia="en-ID"/>
              </w:rPr>
              <w:t>tive advantage</w:t>
            </w:r>
          </w:p>
        </w:tc>
        <w:tc>
          <w:tcPr>
            <w:tcW w:w="0" w:type="auto"/>
            <w:noWrap/>
            <w:vAlign w:val="center"/>
            <w:hideMark/>
          </w:tcPr>
          <w:p w14:paraId="22D1DFC9"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w:t>
            </w:r>
            <w:r w:rsidR="00626D2F" w:rsidRPr="00362781">
              <w:rPr>
                <w:rFonts w:ascii="Times New Roman" w:eastAsia="Times New Roman" w:hAnsi="Times New Roman" w:cs="Times New Roman"/>
                <w:color w:val="000000"/>
                <w:sz w:val="20"/>
                <w:szCs w:val="20"/>
                <w:lang w:eastAsia="en-ID"/>
              </w:rPr>
              <w:t>495</w:t>
            </w:r>
          </w:p>
        </w:tc>
        <w:tc>
          <w:tcPr>
            <w:tcW w:w="0" w:type="auto"/>
            <w:noWrap/>
            <w:vAlign w:val="center"/>
            <w:hideMark/>
          </w:tcPr>
          <w:p w14:paraId="6882DA4A"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0,49</w:t>
            </w:r>
            <w:r w:rsidR="00626D2F" w:rsidRPr="00362781">
              <w:rPr>
                <w:rFonts w:ascii="Times New Roman" w:eastAsia="Times New Roman" w:hAnsi="Times New Roman" w:cs="Times New Roman"/>
                <w:color w:val="000000"/>
                <w:sz w:val="20"/>
                <w:szCs w:val="20"/>
                <w:lang w:eastAsia="en-ID"/>
              </w:rPr>
              <w:t>8</w:t>
            </w:r>
          </w:p>
        </w:tc>
        <w:tc>
          <w:tcPr>
            <w:tcW w:w="0" w:type="auto"/>
            <w:noWrap/>
            <w:vAlign w:val="center"/>
            <w:hideMark/>
          </w:tcPr>
          <w:p w14:paraId="7EFD3287"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w:t>
            </w:r>
            <w:r w:rsidR="00626D2F" w:rsidRPr="00362781">
              <w:rPr>
                <w:rFonts w:ascii="Times New Roman" w:eastAsia="Times New Roman" w:hAnsi="Times New Roman" w:cs="Times New Roman"/>
                <w:color w:val="000000"/>
                <w:sz w:val="20"/>
                <w:szCs w:val="20"/>
                <w:lang w:eastAsia="en-ID"/>
              </w:rPr>
              <w:t>095</w:t>
            </w:r>
          </w:p>
        </w:tc>
        <w:tc>
          <w:tcPr>
            <w:tcW w:w="0" w:type="auto"/>
            <w:noWrap/>
            <w:vAlign w:val="center"/>
            <w:hideMark/>
          </w:tcPr>
          <w:p w14:paraId="52886997" w14:textId="77777777" w:rsidR="00E00A52" w:rsidRPr="00362781" w:rsidRDefault="00626D2F"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5,232</w:t>
            </w:r>
          </w:p>
        </w:tc>
        <w:tc>
          <w:tcPr>
            <w:tcW w:w="0" w:type="auto"/>
            <w:noWrap/>
            <w:vAlign w:val="center"/>
            <w:hideMark/>
          </w:tcPr>
          <w:p w14:paraId="5647AC22" w14:textId="77777777" w:rsidR="00E00A52" w:rsidRPr="00362781" w:rsidRDefault="00E00A52" w:rsidP="00F27FA5">
            <w:pPr>
              <w:spacing w:after="0" w:line="240" w:lineRule="auto"/>
              <w:jc w:val="right"/>
              <w:rPr>
                <w:rFonts w:ascii="Times New Roman" w:eastAsia="Times New Roman" w:hAnsi="Times New Roman" w:cs="Times New Roman"/>
                <w:b/>
                <w:bCs/>
                <w:color w:val="008000"/>
                <w:sz w:val="20"/>
                <w:szCs w:val="20"/>
                <w:lang w:eastAsia="en-ID"/>
              </w:rPr>
            </w:pPr>
            <w:r w:rsidRPr="00362781">
              <w:rPr>
                <w:rFonts w:ascii="Times New Roman" w:eastAsia="Times New Roman" w:hAnsi="Times New Roman" w:cs="Times New Roman"/>
                <w:b/>
                <w:bCs/>
                <w:color w:val="008000"/>
                <w:sz w:val="20"/>
                <w:szCs w:val="20"/>
                <w:lang w:eastAsia="en-ID"/>
              </w:rPr>
              <w:t>0,000</w:t>
            </w:r>
          </w:p>
        </w:tc>
      </w:tr>
      <w:tr w:rsidR="00E00A52" w:rsidRPr="00362781" w14:paraId="7EF365CE" w14:textId="77777777" w:rsidTr="00F27FA5">
        <w:trPr>
          <w:trHeight w:val="20"/>
          <w:jc w:val="center"/>
        </w:trPr>
        <w:tc>
          <w:tcPr>
            <w:tcW w:w="0" w:type="auto"/>
            <w:noWrap/>
            <w:vAlign w:val="center"/>
            <w:hideMark/>
          </w:tcPr>
          <w:p w14:paraId="166E037C" w14:textId="77777777" w:rsidR="00E00A52" w:rsidRPr="00362781" w:rsidRDefault="00E00A52" w:rsidP="00F27FA5">
            <w:pPr>
              <w:spacing w:after="0" w:line="240" w:lineRule="auto"/>
              <w:rPr>
                <w:rFonts w:ascii="Times New Roman" w:eastAsia="Times New Roman" w:hAnsi="Times New Roman" w:cs="Times New Roman"/>
                <w:b/>
                <w:bCs/>
                <w:color w:val="000000"/>
                <w:sz w:val="20"/>
                <w:szCs w:val="20"/>
                <w:lang w:eastAsia="en-ID"/>
              </w:rPr>
            </w:pPr>
            <w:r w:rsidRPr="00362781">
              <w:rPr>
                <w:rFonts w:ascii="Times New Roman" w:eastAsia="Times New Roman" w:hAnsi="Times New Roman" w:cs="Times New Roman"/>
                <w:b/>
                <w:bCs/>
                <w:color w:val="000000"/>
                <w:sz w:val="20"/>
                <w:szCs w:val="20"/>
                <w:lang w:eastAsia="en-ID"/>
              </w:rPr>
              <w:t>Incoterm -&gt; Compet</w:t>
            </w:r>
            <w:r w:rsidR="00453D9D" w:rsidRPr="00362781">
              <w:rPr>
                <w:rFonts w:ascii="Times New Roman" w:eastAsia="Times New Roman" w:hAnsi="Times New Roman" w:cs="Times New Roman"/>
                <w:b/>
                <w:bCs/>
                <w:color w:val="000000"/>
                <w:sz w:val="20"/>
                <w:szCs w:val="20"/>
                <w:lang w:eastAsia="en-ID"/>
              </w:rPr>
              <w:t>i</w:t>
            </w:r>
            <w:r w:rsidRPr="00362781">
              <w:rPr>
                <w:rFonts w:ascii="Times New Roman" w:eastAsia="Times New Roman" w:hAnsi="Times New Roman" w:cs="Times New Roman"/>
                <w:b/>
                <w:bCs/>
                <w:color w:val="000000"/>
                <w:sz w:val="20"/>
                <w:szCs w:val="20"/>
                <w:lang w:eastAsia="en-ID"/>
              </w:rPr>
              <w:t>tive advantage</w:t>
            </w:r>
          </w:p>
        </w:tc>
        <w:tc>
          <w:tcPr>
            <w:tcW w:w="0" w:type="auto"/>
            <w:noWrap/>
            <w:vAlign w:val="center"/>
            <w:hideMark/>
          </w:tcPr>
          <w:p w14:paraId="15886BBD"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0,48</w:t>
            </w:r>
            <w:r w:rsidR="00626D2F" w:rsidRPr="00362781">
              <w:rPr>
                <w:rFonts w:ascii="Times New Roman" w:eastAsia="Times New Roman" w:hAnsi="Times New Roman" w:cs="Times New Roman"/>
                <w:color w:val="000000"/>
                <w:sz w:val="20"/>
                <w:szCs w:val="20"/>
                <w:lang w:eastAsia="en-ID"/>
              </w:rPr>
              <w:t>7</w:t>
            </w:r>
          </w:p>
        </w:tc>
        <w:tc>
          <w:tcPr>
            <w:tcW w:w="0" w:type="auto"/>
            <w:noWrap/>
            <w:vAlign w:val="center"/>
            <w:hideMark/>
          </w:tcPr>
          <w:p w14:paraId="2D99F446"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0,48</w:t>
            </w:r>
            <w:r w:rsidR="00626D2F" w:rsidRPr="00362781">
              <w:rPr>
                <w:rFonts w:ascii="Times New Roman" w:eastAsia="Times New Roman" w:hAnsi="Times New Roman" w:cs="Times New Roman"/>
                <w:color w:val="000000"/>
                <w:sz w:val="20"/>
                <w:szCs w:val="20"/>
                <w:lang w:eastAsia="en-ID"/>
              </w:rPr>
              <w:t>4</w:t>
            </w:r>
          </w:p>
        </w:tc>
        <w:tc>
          <w:tcPr>
            <w:tcW w:w="0" w:type="auto"/>
            <w:noWrap/>
            <w:vAlign w:val="center"/>
            <w:hideMark/>
          </w:tcPr>
          <w:p w14:paraId="063CE744" w14:textId="77777777" w:rsidR="00E00A52" w:rsidRPr="00362781" w:rsidRDefault="00E00A52"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0,</w:t>
            </w:r>
            <w:r w:rsidR="00626D2F" w:rsidRPr="00362781">
              <w:rPr>
                <w:rFonts w:ascii="Times New Roman" w:eastAsia="Times New Roman" w:hAnsi="Times New Roman" w:cs="Times New Roman"/>
                <w:color w:val="000000"/>
                <w:sz w:val="20"/>
                <w:szCs w:val="20"/>
                <w:lang w:eastAsia="en-ID"/>
              </w:rPr>
              <w:t>095</w:t>
            </w:r>
          </w:p>
        </w:tc>
        <w:tc>
          <w:tcPr>
            <w:tcW w:w="0" w:type="auto"/>
            <w:noWrap/>
            <w:vAlign w:val="center"/>
            <w:hideMark/>
          </w:tcPr>
          <w:p w14:paraId="6980DA44" w14:textId="77777777" w:rsidR="00E00A52" w:rsidRPr="00362781" w:rsidRDefault="00626D2F" w:rsidP="00F27FA5">
            <w:pPr>
              <w:spacing w:after="0" w:line="240" w:lineRule="auto"/>
              <w:jc w:val="right"/>
              <w:rPr>
                <w:rFonts w:ascii="Times New Roman" w:eastAsia="Times New Roman" w:hAnsi="Times New Roman" w:cs="Times New Roman"/>
                <w:color w:val="000000"/>
                <w:sz w:val="20"/>
                <w:szCs w:val="20"/>
                <w:lang w:eastAsia="en-ID"/>
              </w:rPr>
            </w:pPr>
            <w:r w:rsidRPr="00362781">
              <w:rPr>
                <w:rFonts w:ascii="Times New Roman" w:eastAsia="Times New Roman" w:hAnsi="Times New Roman" w:cs="Times New Roman"/>
                <w:color w:val="000000"/>
                <w:sz w:val="20"/>
                <w:szCs w:val="20"/>
                <w:lang w:eastAsia="en-ID"/>
              </w:rPr>
              <w:t>5,119</w:t>
            </w:r>
          </w:p>
        </w:tc>
        <w:tc>
          <w:tcPr>
            <w:tcW w:w="0" w:type="auto"/>
            <w:noWrap/>
            <w:vAlign w:val="center"/>
            <w:hideMark/>
          </w:tcPr>
          <w:p w14:paraId="0F42563F" w14:textId="77777777" w:rsidR="00E00A52" w:rsidRPr="00362781" w:rsidRDefault="00E00A52" w:rsidP="00F27FA5">
            <w:pPr>
              <w:spacing w:after="0" w:line="240" w:lineRule="auto"/>
              <w:jc w:val="right"/>
              <w:rPr>
                <w:rFonts w:ascii="Times New Roman" w:eastAsia="Times New Roman" w:hAnsi="Times New Roman" w:cs="Times New Roman"/>
                <w:b/>
                <w:bCs/>
                <w:color w:val="008000"/>
                <w:sz w:val="20"/>
                <w:szCs w:val="20"/>
                <w:lang w:eastAsia="en-ID"/>
              </w:rPr>
            </w:pPr>
            <w:r w:rsidRPr="00362781">
              <w:rPr>
                <w:rFonts w:ascii="Times New Roman" w:eastAsia="Times New Roman" w:hAnsi="Times New Roman" w:cs="Times New Roman"/>
                <w:b/>
                <w:bCs/>
                <w:color w:val="008000"/>
                <w:sz w:val="20"/>
                <w:szCs w:val="20"/>
                <w:lang w:eastAsia="en-ID"/>
              </w:rPr>
              <w:t>0,000</w:t>
            </w:r>
          </w:p>
        </w:tc>
      </w:tr>
    </w:tbl>
    <w:p w14:paraId="5A959582" w14:textId="77777777" w:rsidR="00E00A52" w:rsidRPr="000004DB" w:rsidRDefault="00E00A52" w:rsidP="00AE1636">
      <w:pPr>
        <w:autoSpaceDE w:val="0"/>
        <w:autoSpaceDN w:val="0"/>
        <w:adjustRightInd w:val="0"/>
        <w:spacing w:after="0" w:line="276" w:lineRule="auto"/>
        <w:jc w:val="center"/>
        <w:rPr>
          <w:rFonts w:ascii="Times New Roman" w:hAnsi="Times New Roman" w:cs="Times New Roman"/>
          <w:sz w:val="24"/>
          <w:szCs w:val="24"/>
        </w:rPr>
      </w:pPr>
      <w:r w:rsidRPr="000004DB">
        <w:rPr>
          <w:rFonts w:ascii="Times New Roman" w:hAnsi="Times New Roman" w:cs="Times New Roman"/>
          <w:sz w:val="24"/>
          <w:szCs w:val="24"/>
        </w:rPr>
        <w:t>Source: Printout PLS,2025</w:t>
      </w:r>
    </w:p>
    <w:p w14:paraId="2573A304" w14:textId="77777777" w:rsidR="00514C55" w:rsidRPr="000004DB" w:rsidRDefault="00514C55" w:rsidP="00AE1636">
      <w:pPr>
        <w:tabs>
          <w:tab w:val="left" w:pos="1134"/>
        </w:tabs>
        <w:spacing w:after="0" w:line="276" w:lineRule="auto"/>
        <w:jc w:val="both"/>
        <w:rPr>
          <w:rFonts w:ascii="Times New Roman" w:hAnsi="Times New Roman" w:cs="Times New Roman"/>
          <w:sz w:val="24"/>
          <w:szCs w:val="24"/>
        </w:rPr>
      </w:pPr>
    </w:p>
    <w:p w14:paraId="7C2438BE" w14:textId="1DD5DE0A" w:rsidR="00D06CD9" w:rsidRPr="000004DB" w:rsidRDefault="00E00A52" w:rsidP="00362781">
      <w:pPr>
        <w:spacing w:after="0" w:line="276" w:lineRule="auto"/>
        <w:ind w:firstLine="720"/>
        <w:jc w:val="both"/>
        <w:rPr>
          <w:rFonts w:ascii="Times New Roman" w:hAnsi="Times New Roman" w:cs="Times New Roman"/>
          <w:sz w:val="24"/>
          <w:szCs w:val="24"/>
        </w:rPr>
      </w:pPr>
      <w:r w:rsidRPr="000004DB">
        <w:rPr>
          <w:rFonts w:ascii="Times New Roman" w:hAnsi="Times New Roman" w:cs="Times New Roman"/>
          <w:sz w:val="24"/>
          <w:szCs w:val="24"/>
        </w:rPr>
        <w:lastRenderedPageBreak/>
        <w:t>The results of data processing using PLS-SEM on 1</w:t>
      </w:r>
      <w:r w:rsidR="00626D2F" w:rsidRPr="000004DB">
        <w:rPr>
          <w:rFonts w:ascii="Times New Roman" w:hAnsi="Times New Roman" w:cs="Times New Roman"/>
          <w:sz w:val="24"/>
          <w:szCs w:val="24"/>
        </w:rPr>
        <w:t>30</w:t>
      </w:r>
      <w:r w:rsidRPr="000004DB">
        <w:rPr>
          <w:rFonts w:ascii="Times New Roman" w:hAnsi="Times New Roman" w:cs="Times New Roman"/>
          <w:sz w:val="24"/>
          <w:szCs w:val="24"/>
        </w:rPr>
        <w:t xml:space="preserve"> respondents showed that</w:t>
      </w:r>
      <w:r w:rsidR="004100E9" w:rsidRPr="000004DB">
        <w:rPr>
          <w:rFonts w:ascii="Times New Roman" w:hAnsi="Times New Roman" w:cs="Times New Roman"/>
          <w:sz w:val="24"/>
          <w:szCs w:val="24"/>
        </w:rPr>
        <w:t xml:space="preserve"> Digital transformation</w:t>
      </w:r>
      <w:r w:rsidRPr="000004DB">
        <w:rPr>
          <w:rFonts w:ascii="Times New Roman" w:hAnsi="Times New Roman" w:cs="Times New Roman"/>
          <w:sz w:val="24"/>
          <w:szCs w:val="24"/>
        </w:rPr>
        <w:t xml:space="preserve"> had a positive and significant effect on Competitive Advantage, with a coefficient of 0.</w:t>
      </w:r>
      <w:r w:rsidR="004100E9" w:rsidRPr="000004DB">
        <w:rPr>
          <w:rFonts w:ascii="Times New Roman" w:hAnsi="Times New Roman" w:cs="Times New Roman"/>
          <w:sz w:val="24"/>
          <w:szCs w:val="24"/>
        </w:rPr>
        <w:t>495</w:t>
      </w:r>
      <w:r w:rsidRPr="000004DB">
        <w:rPr>
          <w:rFonts w:ascii="Times New Roman" w:hAnsi="Times New Roman" w:cs="Times New Roman"/>
          <w:sz w:val="24"/>
          <w:szCs w:val="24"/>
        </w:rPr>
        <w:t xml:space="preserve">, a t-statistic of </w:t>
      </w:r>
      <w:r w:rsidR="004100E9" w:rsidRPr="000004DB">
        <w:rPr>
          <w:rFonts w:ascii="Times New Roman" w:hAnsi="Times New Roman" w:cs="Times New Roman"/>
          <w:sz w:val="24"/>
          <w:szCs w:val="24"/>
        </w:rPr>
        <w:t>5.232</w:t>
      </w:r>
      <w:r w:rsidRPr="000004DB">
        <w:rPr>
          <w:rFonts w:ascii="Times New Roman" w:hAnsi="Times New Roman" w:cs="Times New Roman"/>
          <w:sz w:val="24"/>
          <w:szCs w:val="24"/>
        </w:rPr>
        <w:t>, and a p-value of 0.000.</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Meanwhile, Incoterms Selection also had a positive and significant effect on Competitive Advantage, with a coefficient of 0.4</w:t>
      </w:r>
      <w:r w:rsidR="004100E9" w:rsidRPr="000004DB">
        <w:rPr>
          <w:rFonts w:ascii="Times New Roman" w:hAnsi="Times New Roman" w:cs="Times New Roman"/>
          <w:sz w:val="24"/>
          <w:szCs w:val="24"/>
        </w:rPr>
        <w:t>87</w:t>
      </w:r>
      <w:r w:rsidRPr="000004DB">
        <w:rPr>
          <w:rFonts w:ascii="Times New Roman" w:hAnsi="Times New Roman" w:cs="Times New Roman"/>
          <w:sz w:val="24"/>
          <w:szCs w:val="24"/>
        </w:rPr>
        <w:t xml:space="preserve">, a t-statistic of </w:t>
      </w:r>
      <w:r w:rsidR="004100E9" w:rsidRPr="000004DB">
        <w:rPr>
          <w:rFonts w:ascii="Times New Roman" w:hAnsi="Times New Roman" w:cs="Times New Roman"/>
          <w:sz w:val="24"/>
          <w:szCs w:val="24"/>
        </w:rPr>
        <w:t>5.119</w:t>
      </w:r>
      <w:r w:rsidRPr="000004DB">
        <w:rPr>
          <w:rFonts w:ascii="Times New Roman" w:hAnsi="Times New Roman" w:cs="Times New Roman"/>
          <w:sz w:val="24"/>
          <w:szCs w:val="24"/>
        </w:rPr>
        <w:t>, and a p-value of 0.000.</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Furthermore, the R-squared value for Competitive Advantage was 0.947, with an Adjusted R-squared value of 0.946, indicating that </w:t>
      </w:r>
      <w:r w:rsidR="004100E9" w:rsidRPr="000004DB">
        <w:rPr>
          <w:rFonts w:ascii="Times New Roman" w:hAnsi="Times New Roman" w:cs="Times New Roman"/>
          <w:sz w:val="24"/>
          <w:szCs w:val="24"/>
        </w:rPr>
        <w:t xml:space="preserve">Digital </w:t>
      </w:r>
      <w:r w:rsidR="00FC6D9A" w:rsidRPr="000004DB">
        <w:rPr>
          <w:rFonts w:ascii="Times New Roman" w:hAnsi="Times New Roman" w:cs="Times New Roman"/>
          <w:sz w:val="24"/>
          <w:szCs w:val="24"/>
        </w:rPr>
        <w:t>T</w:t>
      </w:r>
      <w:r w:rsidR="004100E9" w:rsidRPr="000004DB">
        <w:rPr>
          <w:rFonts w:ascii="Times New Roman" w:hAnsi="Times New Roman" w:cs="Times New Roman"/>
          <w:sz w:val="24"/>
          <w:szCs w:val="24"/>
        </w:rPr>
        <w:t>ransformation</w:t>
      </w:r>
      <w:r w:rsidR="00453D9D" w:rsidRPr="000004DB">
        <w:rPr>
          <w:rFonts w:ascii="Times New Roman" w:hAnsi="Times New Roman" w:cs="Times New Roman"/>
          <w:sz w:val="24"/>
          <w:szCs w:val="24"/>
        </w:rPr>
        <w:t xml:space="preserve"> and Incoterms Selection can explain 94.7% of the variation in Competitive Advantage</w:t>
      </w:r>
      <w:r w:rsidRPr="000004DB">
        <w:rPr>
          <w:rFonts w:ascii="Times New Roman" w:hAnsi="Times New Roman" w:cs="Times New Roman"/>
          <w:sz w:val="24"/>
          <w:szCs w:val="24"/>
        </w:rPr>
        <w:t>.</w:t>
      </w:r>
    </w:p>
    <w:p w14:paraId="14A1BA9A" w14:textId="77777777" w:rsidR="004100E9" w:rsidRPr="000004DB" w:rsidRDefault="004100E9" w:rsidP="00AE1636">
      <w:pPr>
        <w:tabs>
          <w:tab w:val="left" w:pos="1134"/>
        </w:tabs>
        <w:spacing w:after="0" w:line="276" w:lineRule="auto"/>
        <w:jc w:val="both"/>
        <w:rPr>
          <w:rFonts w:ascii="Times New Roman" w:hAnsi="Times New Roman" w:cs="Times New Roman"/>
          <w:sz w:val="24"/>
          <w:szCs w:val="24"/>
        </w:rPr>
      </w:pPr>
    </w:p>
    <w:p w14:paraId="78F8A349" w14:textId="7C8DF4F5" w:rsidR="00514C55" w:rsidRPr="00362781" w:rsidRDefault="00514C55" w:rsidP="00AE1636">
      <w:pPr>
        <w:tabs>
          <w:tab w:val="left" w:pos="1134"/>
        </w:tabs>
        <w:spacing w:after="0" w:line="276" w:lineRule="auto"/>
        <w:jc w:val="both"/>
        <w:rPr>
          <w:rFonts w:ascii="Times New Roman" w:hAnsi="Times New Roman" w:cs="Times New Roman"/>
          <w:b/>
          <w:bCs/>
          <w:sz w:val="24"/>
          <w:szCs w:val="24"/>
        </w:rPr>
      </w:pPr>
      <w:r w:rsidRPr="00362781">
        <w:rPr>
          <w:rFonts w:ascii="Times New Roman" w:hAnsi="Times New Roman" w:cs="Times New Roman"/>
          <w:b/>
          <w:bCs/>
          <w:sz w:val="24"/>
          <w:szCs w:val="24"/>
        </w:rPr>
        <w:t>Discussion</w:t>
      </w:r>
    </w:p>
    <w:p w14:paraId="1B8056E0" w14:textId="58B6D43A" w:rsidR="004100E9" w:rsidRPr="000004DB" w:rsidRDefault="004100E9" w:rsidP="00AE1636">
      <w:pPr>
        <w:tabs>
          <w:tab w:val="left" w:pos="1134"/>
        </w:tabs>
        <w:spacing w:after="0" w:line="276" w:lineRule="auto"/>
        <w:jc w:val="both"/>
        <w:rPr>
          <w:rFonts w:ascii="Times New Roman" w:hAnsi="Times New Roman" w:cs="Times New Roman"/>
          <w:b/>
          <w:bCs/>
          <w:i/>
          <w:iCs/>
          <w:sz w:val="24"/>
          <w:szCs w:val="24"/>
        </w:rPr>
      </w:pPr>
      <w:r w:rsidRPr="000004DB">
        <w:rPr>
          <w:rFonts w:ascii="Times New Roman" w:hAnsi="Times New Roman" w:cs="Times New Roman"/>
          <w:b/>
          <w:bCs/>
          <w:i/>
          <w:iCs/>
          <w:sz w:val="24"/>
          <w:szCs w:val="24"/>
        </w:rPr>
        <w:t>The Effect of Digital Transformation on Competitive Advantage</w:t>
      </w:r>
    </w:p>
    <w:p w14:paraId="1306537C" w14:textId="77777777" w:rsidR="00514C55" w:rsidRPr="000004DB" w:rsidRDefault="004100E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The results of the study indicate that Digital transformation has a positive and significant effect on Competitive Advantage, with a coefficient value of 0.495, a t-statistic of 5.232, and a p-value of 0.000.</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indicates that the higher the adoption rate of digital technology, the greater the competitive advantage freight forwarding companies can gain.</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finding confirms that digitalization is not merely a technological innovation, but also a strategic resource for creating cost efficiencies, improving service reliability, and strengthening responsiveness to customer needs.</w:t>
      </w:r>
    </w:p>
    <w:p w14:paraId="61EEB04E" w14:textId="77777777" w:rsidR="00514C55" w:rsidRPr="000004DB" w:rsidRDefault="004100E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This finding is consistent with previous studies.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w:t>
      </w:r>
      <w:proofErr w:type="spellStart"/>
      <w:r w:rsidRPr="000004DB">
        <w:rPr>
          <w:rFonts w:ascii="Times New Roman" w:hAnsi="Times New Roman" w:cs="Times New Roman"/>
          <w:sz w:val="24"/>
          <w:szCs w:val="24"/>
        </w:rPr>
        <w:t>Winkelhaus</w:t>
      </w:r>
      <w:proofErr w:type="spellEnd"/>
      <w:r w:rsidRPr="000004DB">
        <w:rPr>
          <w:rFonts w:ascii="Times New Roman" w:hAnsi="Times New Roman" w:cs="Times New Roman"/>
          <w:sz w:val="24"/>
          <w:szCs w:val="24"/>
        </w:rPr>
        <w:t xml:space="preserve"> &amp; Grosse </w:t>
      </w:r>
      <w:r w:rsidR="00DB0B37" w:rsidRPr="000004DB">
        <w:rPr>
          <w:rFonts w:ascii="Times New Roman" w:hAnsi="Times New Roman" w:cs="Times New Roman"/>
          <w:sz w:val="24"/>
          <w:szCs w:val="24"/>
        </w:rPr>
        <w:fldChar w:fldCharType="begin" w:fldLock="1"/>
      </w:r>
      <w:r w:rsidR="00DB0B37" w:rsidRPr="000004DB">
        <w:rPr>
          <w:rFonts w:ascii="Times New Roman" w:hAnsi="Times New Roman" w:cs="Times New Roman"/>
          <w:sz w:val="24"/>
          <w:szCs w:val="24"/>
        </w:rPr>
        <w:instrText>ADDIN CSL_CITATION {"citationItems":[{"id":"ITEM-1","itemData":{"ISSN":"0020-7543","author":[{"dropping-particle":"","family":"Winkelhaus","given":"Sven","non-dropping-particle":"","parse-names":false,"suffix":""},{"dropping-particle":"","family":"Grosse","given":"Eric H","non-dropping-particle":"","parse-names":false,"suffix":""}],"container-title":"International journal of production research","id":"ITEM-1","issue":"1","issued":{"date-parts":[["2020"]]},"page":"18-43","publisher":"Taylor &amp; Francis","title":"Logistics 4.0: a systematic review towards a new logistics system","type":"article-journal","volume":"58"},"suppress-author":1,"uris":["http://www.mendeley.com/documents/?uuid=ebf733c3-b654-41fb-90a2-e65296e696f9"]}],"mendeley":{"formattedCitation":"(2020)","plainTextFormattedCitation":"(2020)","previouslyFormattedCitation":"(2020)"},"properties":{"noteIndex":0},"schema":"https://github.com/citation-style-language/schema/raw/master/csl-citation.json"}</w:instrText>
      </w:r>
      <w:r w:rsidR="00DB0B37" w:rsidRPr="000004DB">
        <w:rPr>
          <w:rFonts w:ascii="Times New Roman" w:hAnsi="Times New Roman" w:cs="Times New Roman"/>
          <w:sz w:val="24"/>
          <w:szCs w:val="24"/>
        </w:rPr>
        <w:fldChar w:fldCharType="separate"/>
      </w:r>
      <w:r w:rsidR="00DB0B37" w:rsidRPr="000004DB">
        <w:rPr>
          <w:rFonts w:ascii="Times New Roman" w:hAnsi="Times New Roman" w:cs="Times New Roman"/>
          <w:noProof/>
          <w:sz w:val="24"/>
          <w:szCs w:val="24"/>
        </w:rPr>
        <w:t>(2020)</w:t>
      </w:r>
      <w:r w:rsidR="00DB0B37"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emphasized that Logistics 4.0, through the integration of digital technology, plays a crucial role in creating flexibility and efficiency in the supply chain, ultimately strengthening competitive advantage.</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Cichosz et al. </w:t>
      </w:r>
      <w:r w:rsidR="00DB0B37" w:rsidRPr="000004DB">
        <w:rPr>
          <w:rFonts w:ascii="Times New Roman" w:hAnsi="Times New Roman" w:cs="Times New Roman"/>
          <w:sz w:val="24"/>
          <w:szCs w:val="24"/>
        </w:rPr>
        <w:fldChar w:fldCharType="begin" w:fldLock="1"/>
      </w:r>
      <w:r w:rsidR="00DB0B37" w:rsidRPr="000004DB">
        <w:rPr>
          <w:rFonts w:ascii="Times New Roman" w:hAnsi="Times New Roman" w:cs="Times New Roman"/>
          <w:sz w:val="24"/>
          <w:szCs w:val="24"/>
        </w:rPr>
        <w:instrText>ADDIN CSL_CITATION {"citationItems":[{"id":"ITEM-1","itemData":{"ISSN":"0957-4093","author":[{"dropping-particle":"","family":"Cichosz","given":"Marzenna","non-dropping-particle":"","parse-names":false,"suffix":""},{"dropping-particle":"","family":"Wallenburg","given":"Carl Marcus","non-dropping-particle":"","parse-names":false,"suffix":""},{"dropping-particle":"","family":"Knemeyer","given":"A Michael","non-dropping-particle":"","parse-names":false,"suffix":""}],"container-title":"The International Journal of Logistics Management","id":"ITEM-1","issue":"2","issued":{"date-parts":[["2020"]]},"page":"209-238","publisher":"Emerald Publishing Limited","title":"Digital transformation at logistics service providers: barriers, success factors and leading practices","type":"article-journal","volume":"31"},"suppress-author":1,"uris":["http://www.mendeley.com/documents/?uuid=e2a4d97b-e904-47c6-a489-452fc18e0dac"]}],"mendeley":{"formattedCitation":"(2020)","plainTextFormattedCitation":"(2020)","previouslyFormattedCitation":"(2020)"},"properties":{"noteIndex":0},"schema":"https://github.com/citation-style-language/schema/raw/master/csl-citation.json"}</w:instrText>
      </w:r>
      <w:r w:rsidR="00DB0B37" w:rsidRPr="000004DB">
        <w:rPr>
          <w:rFonts w:ascii="Times New Roman" w:hAnsi="Times New Roman" w:cs="Times New Roman"/>
          <w:sz w:val="24"/>
          <w:szCs w:val="24"/>
        </w:rPr>
        <w:fldChar w:fldCharType="separate"/>
      </w:r>
      <w:r w:rsidR="00DB0B37" w:rsidRPr="000004DB">
        <w:rPr>
          <w:rFonts w:ascii="Times New Roman" w:hAnsi="Times New Roman" w:cs="Times New Roman"/>
          <w:noProof/>
          <w:sz w:val="24"/>
          <w:szCs w:val="24"/>
        </w:rPr>
        <w:t>(2020)</w:t>
      </w:r>
      <w:r w:rsidR="00DB0B37"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also found that digital transformation in logistics service providers increases competitiveness by accelerating information flow and improving service quality.</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In the maritime context, Raza et al.</w:t>
      </w:r>
      <w:r w:rsidR="00DB0B37" w:rsidRPr="000004DB">
        <w:rPr>
          <w:rFonts w:ascii="Times New Roman" w:hAnsi="Times New Roman" w:cs="Times New Roman"/>
          <w:sz w:val="24"/>
          <w:szCs w:val="24"/>
        </w:rPr>
        <w:t xml:space="preserve"> </w:t>
      </w:r>
      <w:r w:rsidR="00DB0B37" w:rsidRPr="000004DB">
        <w:rPr>
          <w:rFonts w:ascii="Times New Roman" w:hAnsi="Times New Roman" w:cs="Times New Roman"/>
          <w:sz w:val="24"/>
          <w:szCs w:val="24"/>
        </w:rPr>
        <w:fldChar w:fldCharType="begin" w:fldLock="1"/>
      </w:r>
      <w:r w:rsidR="00DB0B37" w:rsidRPr="000004DB">
        <w:rPr>
          <w:rFonts w:ascii="Times New Roman" w:hAnsi="Times New Roman" w:cs="Times New Roman"/>
          <w:sz w:val="24"/>
          <w:szCs w:val="24"/>
        </w:rPr>
        <w:instrText>ADDIN CSL_CITATION {"citationItems":[{"id":"ITEM-1","itemData":{"ISSN":"0166-3615","author":[{"dropping-particle":"","family":"Raza","given":"Zeeshan","non-dropping-particle":"","parse-names":false,"suffix":""},{"dropping-particle":"","family":"Woxenius","given":"Johan","non-dropping-particle":"","parse-names":false,"suffix":""},{"dropping-particle":"","family":"Vural","given":"Ceren Altuntas","non-dropping-particle":"","parse-names":false,"suffix":""},{"dropping-particle":"","family":"Lind","given":"Mikael","non-dropping-particle":"","parse-names":false,"suffix":""}],"container-title":"Computers in Industry","id":"ITEM-1","issued":{"date-parts":[["2023"]]},"page":"103811","publisher":"Elsevier","title":"Digital transformation of maritime logistics: Exploring trends in the liner shipping segment","type":"article-journal","volume":"145"},"suppress-author":1,"uris":["http://www.mendeley.com/documents/?uuid=ff9604a0-6424-4686-9fed-135f000e517b"]}],"mendeley":{"formattedCitation":"(2023)","plainTextFormattedCitation":"(2023)","previouslyFormattedCitation":"(2023)"},"properties":{"noteIndex":0},"schema":"https://github.com/citation-style-language/schema/raw/master/csl-citation.json"}</w:instrText>
      </w:r>
      <w:r w:rsidR="00DB0B37" w:rsidRPr="000004DB">
        <w:rPr>
          <w:rFonts w:ascii="Times New Roman" w:hAnsi="Times New Roman" w:cs="Times New Roman"/>
          <w:sz w:val="24"/>
          <w:szCs w:val="24"/>
        </w:rPr>
        <w:fldChar w:fldCharType="separate"/>
      </w:r>
      <w:r w:rsidR="00DB0B37" w:rsidRPr="000004DB">
        <w:rPr>
          <w:rFonts w:ascii="Times New Roman" w:hAnsi="Times New Roman" w:cs="Times New Roman"/>
          <w:noProof/>
          <w:sz w:val="24"/>
          <w:szCs w:val="24"/>
        </w:rPr>
        <w:t>(2023)</w:t>
      </w:r>
      <w:r w:rsidR="00DB0B37"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emphasized that digitalization in liner shipping can reduce transaction costs and improve coordination, which has direct implications for company competitiveness.</w:t>
      </w:r>
    </w:p>
    <w:p w14:paraId="5A3B2953" w14:textId="231E7156" w:rsidR="00A12307" w:rsidRPr="000004DB" w:rsidRDefault="004100E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Furthermore, research by </w:t>
      </w:r>
      <w:proofErr w:type="spellStart"/>
      <w:r w:rsidRPr="000004DB">
        <w:rPr>
          <w:rFonts w:ascii="Times New Roman" w:hAnsi="Times New Roman" w:cs="Times New Roman"/>
          <w:sz w:val="24"/>
          <w:szCs w:val="24"/>
        </w:rPr>
        <w:t>Spieske</w:t>
      </w:r>
      <w:proofErr w:type="spellEnd"/>
      <w:r w:rsidRPr="000004DB">
        <w:rPr>
          <w:rFonts w:ascii="Times New Roman" w:hAnsi="Times New Roman" w:cs="Times New Roman"/>
          <w:sz w:val="24"/>
          <w:szCs w:val="24"/>
        </w:rPr>
        <w:t xml:space="preserve"> &amp; Birkel</w:t>
      </w:r>
      <w:r w:rsidR="00DB0B37" w:rsidRPr="000004DB">
        <w:rPr>
          <w:rFonts w:ascii="Times New Roman" w:hAnsi="Times New Roman" w:cs="Times New Roman"/>
          <w:sz w:val="24"/>
          <w:szCs w:val="24"/>
        </w:rPr>
        <w:t xml:space="preserve"> </w:t>
      </w:r>
      <w:r w:rsidR="00DB0B37" w:rsidRPr="000004DB">
        <w:rPr>
          <w:rFonts w:ascii="Times New Roman" w:hAnsi="Times New Roman" w:cs="Times New Roman"/>
          <w:sz w:val="24"/>
          <w:szCs w:val="24"/>
        </w:rPr>
        <w:fldChar w:fldCharType="begin" w:fldLock="1"/>
      </w:r>
      <w:r w:rsidR="00B22419" w:rsidRPr="000004DB">
        <w:rPr>
          <w:rFonts w:ascii="Times New Roman" w:hAnsi="Times New Roman" w:cs="Times New Roman"/>
          <w:sz w:val="24"/>
          <w:szCs w:val="24"/>
        </w:rPr>
        <w:instrText>ADDIN CSL_CITATION {"citationItems":[{"id":"ITEM-1","itemData":{"ISSN":"0360-8352","author":[{"dropping-particle":"","family":"Spieske","given":"Alexander","non-dropping-particle":"","parse-names":false,"suffix":""},{"dropping-particle":"","family":"Birkel","given":"Hendrik","non-dropping-particle":"","parse-names":false,"suffix":""}],"container-title":"Computers &amp; Industrial Engineering","id":"ITEM-1","issued":{"date-parts":[["2021"]]},"page":"107452","publisher":"Elsevier","title":"Improving supply chain resilience through industry 4.0: A systematic literature review under the impressions of the COVID-19 pandemic","type":"article-journal","volume":"158"},"suppress-author":1,"uris":["http://www.mendeley.com/documents/?uuid=3da1de18-7190-483e-8aa5-be028e2092a0"]}],"mendeley":{"formattedCitation":"(2021)","plainTextFormattedCitation":"(2021)","previouslyFormattedCitation":"(2021)"},"properties":{"noteIndex":0},"schema":"https://github.com/citation-style-language/schema/raw/master/csl-citation.json"}</w:instrText>
      </w:r>
      <w:r w:rsidR="00DB0B37" w:rsidRPr="000004DB">
        <w:rPr>
          <w:rFonts w:ascii="Times New Roman" w:hAnsi="Times New Roman" w:cs="Times New Roman"/>
          <w:sz w:val="24"/>
          <w:szCs w:val="24"/>
        </w:rPr>
        <w:fldChar w:fldCharType="separate"/>
      </w:r>
      <w:r w:rsidR="00DB0B37" w:rsidRPr="000004DB">
        <w:rPr>
          <w:rFonts w:ascii="Times New Roman" w:hAnsi="Times New Roman" w:cs="Times New Roman"/>
          <w:noProof/>
          <w:sz w:val="24"/>
          <w:szCs w:val="24"/>
        </w:rPr>
        <w:t>(2021)</w:t>
      </w:r>
      <w:r w:rsidR="00DB0B37"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highlighted that Industry 4.0 technology supports supply chain resilience and flexibility, especially during disruptive conditions such as the COVID-19 pandemic.</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These findings support research that digitalization can create sustainable competitive advantage, not only through short-term efficiency but also through long-term strategic resilience.</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Thus, these research findings reinforce the literature that digital transformation is a key factor enabling freight forwarding companies in Indonesia to remain competitive in a dynamic global business environment.</w:t>
      </w:r>
    </w:p>
    <w:p w14:paraId="2AAD2B3F" w14:textId="77777777" w:rsidR="004100E9" w:rsidRPr="000004DB" w:rsidRDefault="004100E9" w:rsidP="00AE1636">
      <w:pPr>
        <w:tabs>
          <w:tab w:val="left" w:pos="1134"/>
        </w:tabs>
        <w:spacing w:after="0" w:line="276" w:lineRule="auto"/>
        <w:jc w:val="both"/>
        <w:rPr>
          <w:rFonts w:ascii="Times New Roman" w:hAnsi="Times New Roman" w:cs="Times New Roman"/>
          <w:sz w:val="24"/>
          <w:szCs w:val="24"/>
        </w:rPr>
      </w:pPr>
    </w:p>
    <w:p w14:paraId="5060DE69" w14:textId="77777777" w:rsidR="00D06CD9" w:rsidRPr="000004DB" w:rsidRDefault="00D06CD9" w:rsidP="00AE1636">
      <w:pPr>
        <w:tabs>
          <w:tab w:val="left" w:pos="1134"/>
        </w:tabs>
        <w:spacing w:after="0" w:line="276" w:lineRule="auto"/>
        <w:jc w:val="both"/>
        <w:rPr>
          <w:rFonts w:ascii="Times New Roman" w:hAnsi="Times New Roman" w:cs="Times New Roman"/>
          <w:b/>
          <w:bCs/>
          <w:i/>
          <w:iCs/>
          <w:sz w:val="24"/>
          <w:szCs w:val="24"/>
        </w:rPr>
      </w:pPr>
      <w:r w:rsidRPr="000004DB">
        <w:rPr>
          <w:rFonts w:ascii="Times New Roman" w:hAnsi="Times New Roman" w:cs="Times New Roman"/>
          <w:b/>
          <w:bCs/>
          <w:i/>
          <w:iCs/>
          <w:sz w:val="24"/>
          <w:szCs w:val="24"/>
        </w:rPr>
        <w:t>The Effect of Incoterm Selection on Compet</w:t>
      </w:r>
      <w:r w:rsidR="00453D9D" w:rsidRPr="000004DB">
        <w:rPr>
          <w:rFonts w:ascii="Times New Roman" w:hAnsi="Times New Roman" w:cs="Times New Roman"/>
          <w:b/>
          <w:bCs/>
          <w:i/>
          <w:iCs/>
          <w:sz w:val="24"/>
          <w:szCs w:val="24"/>
        </w:rPr>
        <w:t>i</w:t>
      </w:r>
      <w:r w:rsidRPr="000004DB">
        <w:rPr>
          <w:rFonts w:ascii="Times New Roman" w:hAnsi="Times New Roman" w:cs="Times New Roman"/>
          <w:b/>
          <w:bCs/>
          <w:i/>
          <w:iCs/>
          <w:sz w:val="24"/>
          <w:szCs w:val="24"/>
        </w:rPr>
        <w:t>tive Advantage</w:t>
      </w:r>
    </w:p>
    <w:p w14:paraId="2F4149C6" w14:textId="77777777" w:rsidR="00D06CD9" w:rsidRPr="000004DB" w:rsidRDefault="00D06CD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The results of the study indicate that Incoterms Selection has a positive and significant effect on Competitive Advantage, with a coefficient value of 0.4</w:t>
      </w:r>
      <w:r w:rsidR="004100E9" w:rsidRPr="000004DB">
        <w:rPr>
          <w:rFonts w:ascii="Times New Roman" w:hAnsi="Times New Roman" w:cs="Times New Roman"/>
          <w:sz w:val="24"/>
          <w:szCs w:val="24"/>
        </w:rPr>
        <w:t>87</w:t>
      </w:r>
      <w:r w:rsidRPr="000004DB">
        <w:rPr>
          <w:rFonts w:ascii="Times New Roman" w:hAnsi="Times New Roman" w:cs="Times New Roman"/>
          <w:sz w:val="24"/>
          <w:szCs w:val="24"/>
        </w:rPr>
        <w:t xml:space="preserve">, a t-statistic of </w:t>
      </w:r>
      <w:r w:rsidR="004100E9" w:rsidRPr="000004DB">
        <w:rPr>
          <w:rFonts w:ascii="Times New Roman" w:hAnsi="Times New Roman" w:cs="Times New Roman"/>
          <w:sz w:val="24"/>
          <w:szCs w:val="24"/>
        </w:rPr>
        <w:t>5.119</w:t>
      </w:r>
      <w:r w:rsidRPr="000004DB">
        <w:rPr>
          <w:rFonts w:ascii="Times New Roman" w:hAnsi="Times New Roman" w:cs="Times New Roman"/>
          <w:sz w:val="24"/>
          <w:szCs w:val="24"/>
        </w:rPr>
        <w:t>, and a p-value of 0.000.</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finding reinforces the view that Incoterm selection is not merely an administrative obligation in international trade, but also a strategic decision that can improve the competitive position of freight forwarding companies.</w:t>
      </w:r>
      <w:r w:rsidR="00FC6D9A" w:rsidRPr="000004DB">
        <w:rPr>
          <w:rFonts w:ascii="Times New Roman" w:hAnsi="Times New Roman" w:cs="Times New Roman"/>
          <w:sz w:val="24"/>
          <w:szCs w:val="24"/>
        </w:rPr>
        <w:t xml:space="preserve"> </w:t>
      </w:r>
      <w:r w:rsidR="00453D9D"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From a strategic management perspective, the decision to select Incoterms reflects a company's ability to manage risks, costs, and responsibilities in the international supply chain </w:t>
      </w:r>
      <w:r w:rsidR="00FB0A18" w:rsidRPr="000004DB">
        <w:rPr>
          <w:rFonts w:ascii="Times New Roman" w:hAnsi="Times New Roman" w:cs="Times New Roman"/>
          <w:sz w:val="24"/>
          <w:szCs w:val="24"/>
        </w:rPr>
        <w:fldChar w:fldCharType="begin" w:fldLock="1"/>
      </w:r>
      <w:r w:rsidR="00FB0A18" w:rsidRPr="000004DB">
        <w:rPr>
          <w:rFonts w:ascii="Times New Roman" w:hAnsi="Times New Roman" w:cs="Times New Roman"/>
          <w:sz w:val="24"/>
          <w:szCs w:val="24"/>
        </w:rPr>
        <w:instrText>ADDIN CSL_CITATION {"citationItems":[{"id":"ITEM-1","itemData":{"ISBN":"978-92-842-0510-3","author":[{"dropping-particle":"","family":"The International Chamber of Commerce","given":"","non-dropping-particle":"","parse-names":false,"suffix":""}],"edition":"723E","id":"ITEM-1","issued":{"date-parts":[["2020"]]},"number-of-pages":"350","publisher":"International Chamber and Commerce Indonesia","title":"ICC Rules for the Use of Domestic and International Trade Terms","type":"book"},"uris":["http://www.mendeley.com/documents/?uuid=80d8168b-f10f-4b08-9297-d40c5c184568"]}],"mendeley":{"formattedCitation":"(The International Chamber of Commerce, 2020)","plainTextFormattedCitation":"(The International Chamber of Commerce, 2020)","previouslyFormattedCitation":"(The International Chamber of Commerce, 2020)"},"properties":{"noteIndex":0},"schema":"https://github.com/citation-style-language/schema/raw/master/csl-citation.json"}</w:instrText>
      </w:r>
      <w:r w:rsidR="00FB0A18" w:rsidRPr="000004DB">
        <w:rPr>
          <w:rFonts w:ascii="Times New Roman" w:hAnsi="Times New Roman" w:cs="Times New Roman"/>
          <w:sz w:val="24"/>
          <w:szCs w:val="24"/>
        </w:rPr>
        <w:fldChar w:fldCharType="separate"/>
      </w:r>
      <w:r w:rsidR="00FB0A18" w:rsidRPr="000004DB">
        <w:rPr>
          <w:rFonts w:ascii="Times New Roman" w:hAnsi="Times New Roman" w:cs="Times New Roman"/>
          <w:noProof/>
          <w:sz w:val="24"/>
          <w:szCs w:val="24"/>
        </w:rPr>
        <w:t>(The International Chamber of Commerce, 2020)</w:t>
      </w:r>
      <w:r w:rsidR="00FB0A18" w:rsidRPr="000004DB">
        <w:rPr>
          <w:rFonts w:ascii="Times New Roman" w:hAnsi="Times New Roman" w:cs="Times New Roman"/>
          <w:sz w:val="24"/>
          <w:szCs w:val="24"/>
        </w:rPr>
        <w:fldChar w:fldCharType="end"/>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This aligns with Porter's</w:t>
      </w:r>
      <w:r w:rsidR="00FB0A18" w:rsidRPr="000004DB">
        <w:rPr>
          <w:rFonts w:ascii="Times New Roman" w:hAnsi="Times New Roman" w:cs="Times New Roman"/>
          <w:sz w:val="24"/>
          <w:szCs w:val="24"/>
        </w:rPr>
        <w:t xml:space="preserve"> </w:t>
      </w:r>
      <w:r w:rsidR="00FB0A18" w:rsidRPr="000004DB">
        <w:rPr>
          <w:rFonts w:ascii="Times New Roman" w:hAnsi="Times New Roman" w:cs="Times New Roman"/>
          <w:sz w:val="24"/>
          <w:szCs w:val="24"/>
        </w:rPr>
        <w:fldChar w:fldCharType="begin" w:fldLock="1"/>
      </w:r>
      <w:r w:rsidR="00FB0A18" w:rsidRPr="000004DB">
        <w:rPr>
          <w:rFonts w:ascii="Times New Roman" w:hAnsi="Times New Roman" w:cs="Times New Roman"/>
          <w:sz w:val="24"/>
          <w:szCs w:val="24"/>
        </w:rPr>
        <w:instrText>ADDIN CSL_CITATION {"citationItems":[{"id":"ITEM-1","itemData":{"ISSN":"0684841460","author":[{"dropping-particle":"","family":"Porter","given":"Michael E","non-dropping-particle":"","parse-names":false,"suffix":""},{"dropping-particle":"","family":"Kramer","given":"Mark R","non-dropping-particle":"","parse-names":false,"suffix":""}],"container-title":"Creating and Sustaining Superior Performance, Simons","id":"ITEM-1","issued":{"date-parts":[["1985"]]},"page":"56-68","title":"Competitive Advantage","type":"article-journal"},"suppress-author":1,"uris":["http://www.mendeley.com/documents/?uuid=1c459462-83b0-4fc8-bca5-c48a6e75b92e"]}],"mendeley":{"formattedCitation":"(1985)","plainTextFormattedCitation":"(1985)","previouslyFormattedCitation":"(1985)"},"properties":{"noteIndex":0},"schema":"https://github.com/citation-style-language/schema/raw/master/csl-citation.json"}</w:instrText>
      </w:r>
      <w:r w:rsidR="00FB0A18" w:rsidRPr="000004DB">
        <w:rPr>
          <w:rFonts w:ascii="Times New Roman" w:hAnsi="Times New Roman" w:cs="Times New Roman"/>
          <w:sz w:val="24"/>
          <w:szCs w:val="24"/>
        </w:rPr>
        <w:fldChar w:fldCharType="separate"/>
      </w:r>
      <w:r w:rsidR="00FB0A18" w:rsidRPr="000004DB">
        <w:rPr>
          <w:rFonts w:ascii="Times New Roman" w:hAnsi="Times New Roman" w:cs="Times New Roman"/>
          <w:noProof/>
          <w:sz w:val="24"/>
          <w:szCs w:val="24"/>
        </w:rPr>
        <w:t>(1985)</w:t>
      </w:r>
      <w:r w:rsidR="00FB0A18"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theory of competitive advantage, which emphasizes </w:t>
      </w:r>
      <w:r w:rsidRPr="000004DB">
        <w:rPr>
          <w:rFonts w:ascii="Times New Roman" w:hAnsi="Times New Roman" w:cs="Times New Roman"/>
          <w:sz w:val="24"/>
          <w:szCs w:val="24"/>
        </w:rPr>
        <w:lastRenderedPageBreak/>
        <w:t>that service differentiation and cost efficiency are two key pillars that can strengthen a company's competitive position.</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By selecting the right Incoterms, companies can reduce operational costs, minimize potential disputes, and provide value-added services to customers, thus generating a sustainable competitive advantage.</w:t>
      </w:r>
    </w:p>
    <w:p w14:paraId="49111A15" w14:textId="77777777" w:rsidR="00514C55" w:rsidRPr="000004DB" w:rsidRDefault="00D06CD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This finding is consistent with recent research highlighting the importance of Incoterms 2020 in increasing transparency and legal certainty in global trade.</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For example, Wagner </w:t>
      </w:r>
      <w:r w:rsidR="00FB0A18" w:rsidRPr="000004DB">
        <w:rPr>
          <w:rFonts w:ascii="Times New Roman" w:hAnsi="Times New Roman" w:cs="Times New Roman"/>
          <w:sz w:val="24"/>
          <w:szCs w:val="24"/>
        </w:rPr>
        <w:fldChar w:fldCharType="begin" w:fldLock="1"/>
      </w:r>
      <w:r w:rsidR="00FB0A18" w:rsidRPr="000004DB">
        <w:rPr>
          <w:rFonts w:ascii="Times New Roman" w:hAnsi="Times New Roman" w:cs="Times New Roman"/>
          <w:sz w:val="24"/>
          <w:szCs w:val="24"/>
        </w:rPr>
        <w:instrText>ADDIN CSL_CITATION {"citationItems":[{"id":"ITEM-1","itemData":{"ISSN":"1569755X (ISSN)","abstract":"In the past year, due to the Coronavirus disease 2019 (COVID-19), sea freight prices and domestic transportation costs have risen sharply, an increase that has not been seen for many years. This leads to a change in customs valuation. In most countries worldwide, collection of duties is based on the cost, insurance and freight (CIF) value of goods, there, any increase in transportation costs, lead to additional collection of import duties. The United States, Canada, Australia, New Zealand and South Africa, however, impose duties on the free on board (FOB) value of goods, meaning, therefore, transport costs changes do not lead to additional import duties in those countries. COVID-19 effects on transportation costs are a global issue and may last for a long time. Therefore, governments that impose customs on the CIF value, should consider waiving the COVID-19 extra shipping costs, for customs valuation purposes, until we are back to a ‘normal’ period. © 2022 Kluwer Law International BV, The Netherlands","author":[{"dropping-particle":"","family":"Wagner","given":"O","non-dropping-particle":"","parse-names":false,"suffix":""}],"container-title":"Global Trade and Customs Journal","id":"ITEM-1","issue":"3","issued":{"date-parts":[["2022"]]},"language":"English","note":"Export Date: 2 April 2023\n\nCorrespondence Address: Wagner, O.; Department at Price Waterhouse Coopers (PWC)Israel; email: omer.wagner@pwc.com\n\nReferences: https://www.ynet.co.il/economy/article/rJrNcwAcd, 1 (accessed 29 Dec. 2021); Ho, Suan-Ju, (2021) The Impact of COVID-19 on Freight Transport: Evidence from China, MethodsX, 8, p. 101200. , https://reader.elsevier.com/reader/sd/pii/S2215016120304209?token=D6DC25D810FF1B03A2BE90CCE78FCFC407C2BCB9A16CE2A94E42A633CDFBBFFE7DAD219E74FDC6CD0EE50DBA0F6DBE31&amp;amp;originRegion=eu-west-1&amp;amp;originCreation=20211229141024, 2 For example: ‘Evidence shows that in the context of high level of COVID-19 confirmed cases and low level of gasoline production, the COVID-19 increases freight transport (accessed 29 Dec. 2021); \nhttps://incodocs.com/blog/incoterms-2020-explained-the-complete-guide/https://iccwbo.org/resources-for-business/incoterms-rules/incoterms-2020/, 3 https://www.orian.com/uploads/sites/35/files/incoterms%202020.pdf (accessed 29 Dec. 2021); 4 Customs Valuation Agreement (Implementation of Art. VII of the GATT), , https://www.wto.org/english/res_e/publications_e/ai17_e/cusval_e.htm, (accessed 29 Dec. 2021);\n(1989), https://docs.wto.org/gattdocs/q/TR/VAL/M25.pdf, 5 Customs Valuation Agreement, s. 8.2; lease also WTO Committee on Customs Valuation, 10 Oct. VAL/M/25, at 4 s. 9, where it is stated that: the committee had recognized that the treatment of transport cost and related charges would largely depend on the national legislation (accessed 29 Dec. 2021); (1983) Scope of the word ‘insurance’ under Art. 8.2 (c) of the Agreement, defines the insurance as related to the transportation and loading process, only. See also WTO Committee on Customs Valuation, , https://docs.wto.org/gattdocs/q/TR/VAL/Spec9.pdf, 6 Advisory Opinion 13.1 of the WCO, Nov. 10–11th, VAL/Spec/9, at 12, (accessed 29 Dec. 2021);\n7 Article 1.1 of the Customs Valuation Agreement;\n8 Article 8.1(a)(1) of the Customs Valuation Agreement;\n9 Article 8.1(b)(i) of the Customs Valuation Agreement;\n10 Article 8.1(c) of the Customs Valuation Agreement;\n11 Interpretative notes for the Customs Valuation Agreement, 1, p. 3. , Note to Art. s. (b);\nIncreasable Charges to Transaction Value, (d), transportation costs, insurance, , https://bado.mx/articles/331/ley-aduanera/article-65-increasable-charges-totransaction-value/, 12 Mexico, Art. 65: (accessed 29 Dec. 2021); also WTO Committee on Customs Valuation, 9 Nov. 1994, VAL/M/34, at 6, s. 30, where it was stated that: ‘Mexico had indicated that as from 1 Jan. 1995, it would change its practice regarding the treatment of costs linked to transport and insurance, i.e., it would include as of that date in the customs value an amount paid for transport and insurance to the point of importation. Such a system was provided for in Art. 8.2 of the agreement https: docs.wto.org/gattdocs/q/TR/VAL/M34.pdf (accessed 29 Dec. 2021);\nEstablishing Customs Value for Import, , https://www.customs.gov.sg/businesses/valuation-duties-taxes-fees/establishing-customsvalue-for-imports, (Web Page, undated), (accessed 29 Dec. 2021);\nWei-Liang, Zhang, (2002) China Customs Valuation and the WTO Valuation Agreement, , https://archives.kdischool.ac.kr/bitstream/11125/30015/1/China%20Customs%20Valuation%20and%20the%20WTO%20Valuation%20Agreement.pdf, 14 Thesis 75 Article. 3 of the Rules of General Administration of Customs of the People’s Republic of China Regarding Determination of Customs Value of Imported and Exported Goods, (accessed 29 Dec. 2021). also Ch. II Art. 5 of the Decree of the General Administration of Customs of the People’s Republic of Chin 148: ‘The dutiable value of import goods shall be determined by Customs on the basis of the transaction value, and shall include the costs of transport and other costs associated therewith as well as the cost of insurance incurred prior to the unloading of the goods at the port or place of entry within the Customs territory of the People’s Republic of China http://english.customs.gov.cn/statics/5fb0687f-2d3d-40a0-9f2a-333ec8ee5981.html (accessed 29 Dec. 2021);\n15 Japan Customs Valuation System, s. 1: ‘Methods of Determining Customs Value’, Subs. 1(a)(a): ‘The customs value of imported goods is the transaction price paid by the buyer to the seller.. plus the following fares.. (a)transportation-related expenses, including the fare until the arrival at port, insurance, etc, , https://www.customs.go.jp/english/summary/value_details.htmhttps://www.customs.go.jp/english/summary/value.htm, (accessed 29 Dec. 2021);\n(2007) 16 India’s Customs Valuation (Determination of Value of Imported Goods) Rules, , https://www.cbic.gov.in/htdocscbec/customs/cs-act/formatted-htmls/cs-rulea, 10 ‘Cost and Services Subs. 10(2)(a) and 10(2)(c), (accessed 29 Dec. 2021);\n(2018) Guide to Customs Valuation and Transfer Pricing, 11. , http://www.wcoomd.org/-/media/wco/public/global/pdf/topics/key-issues/revenue-package/wco-guide-to-customs-valuation-and-transfer-pricing.pdf?la=en, (Online), (accessed 29 Dec. 2021);\n(1995) 18 Commentary 21.1 of the WCO: Cost of transportation: Free-On-Board system of valuation. See also Commentary no. 7.1 of the WCO: Treatment of Storage and related expenses under the provisions of Art. 1, s. 18, which rules that storage expenses of several types should be treated as a transportation costs, and should be/should not be added to the customs value, according to s. 8.2(b) to the Customs Valuation Agreement and the specific State’s decision, , https://docs.wto.org/dol2fe/Pages/SS/directdoc.aspx?filename=Q:/WT/ACC/1.pdf&amp;amp;Open=True, also WT/ACC/1 WTO document dated 24 Mar. 16, Annex 4, Questio 6: ‘How have the options found in Article 8.2 been handled (accessed 29 Dec. 2021);\nhttps://docs.wto.org/gattdocs/q/TR/VAL/M2.pdfhttps://docs.wto.org/gattdocs/q/TR/VAL/Spec2.pdf, 19 Tariff act of 1930, 19. U.S.C. §1401 a(b)(1), (3) also WTO Committee on Customs Valuation, 5 May 1981, VAL/M/2, at 9 s. 5, Where the US replied that an ex-facroty prices are acceptablke for customs valuation, (accessed 29 Dec. 2021); (1985), https://laws-lois.justice.gc.ca/eng/acts/c-52.6/page-8.html#h-140175, 20 R.S.C., c. 1 (2nd Supp), (accessed 29 Dec. 2021). also Canada Border Services Agency, Customs Valuation Handbook 10 and 11 (Online 2019), https://www.cbsa-asfc.gc.ca/import/valuation-valeur/customs-val-douane-eng.pdf (accessed 29 Dec. 2021); (1901) Customs Act, 21, p. 159. , (1);\n, p. 159. , 22 Ibid., s. (2); , p. 161. , 23 Ibid., s. (1); , p. 154. , 24 Ibid., s; (2011) Instructions and Guidelines – Customs Valuation, 25. , https://www.abf.gov.au/help-and-support-subsite/files/instructions-guidelines-customs-valuation.pdf, 25 Department of Immigration and Border Protection, (Online Sept), (accessed 29 Dec. 2021); also WTO Committee on Customs Valuation, 30 July 1989, VAL/M/24, at 10 s. 31, where Austrlia responded to a US question, concering the dutiablity of Australia inland transportation costs, before exporting; https://docs.wto.org/gattdocs/q/TR/VAL/M24.pdf (accessed 29 Dec. 2021);\n(2018) Customs and Excise Act, 26, p. 4. , (NZ) Sch. 4, s;\n, p. 7. , 27 Ibid., s; (2018) Guide to Applying for a Customs Valuation Ruling on Imported Goods, , https://www.customs.govt.nz/globalassets/documents/guides/guide-apply-customs-valuation-ruling-on-imported-goods.pdf, 28 Ibid., s. 7(c). also New Zealand Customs Service, (Online Oct), (accessed 29 Dec. 2021);\n(2014) Government Gazette no. 552, 589. , https://www.gov.za/sites/default/files/gcis_document/201409/37821gon552act30of2014.pdf, 29 Customs Duty Act 2014 (ZA), 10 July (accessed 29 Dec. 2021);\n(1984) 30 WTO Committee on Customs Valuation, , https://docs.wto.org/gattdocs/q/TR/VAL/M9.pdfhttps://docs.wto.org/gattdocs/q/TR/VAL/Spec9.pdf, 13 July VAL/M/9, at 15, (accessed 29 Dec. 2021);\nhttps://pdf.usaibidgov/pdf_docs/PA00JZ31.pdf, 31 EAC Customs Valuation Manual, A Guide to the Customs Valuation of Imported Goods in the East African Community, ss 2.1.3 and 2.1.4. This guide includes Kenya, Tanzania, Uganda, Rwanda and Burundi, also East African Community Customs Management Act, Fourth Schedule, Determination of Value of Imported Goods Liable to Ad Valorem Import Duty, s. 9(2), Adjustments to Value, https://trade.tanzania.go.tz/media/EAC_Customs_ Management_Act_(Revised)[1]_1.pdf (accessed 29 Dec. 2021); 32 Regulation (EU) No 952/2013 of the European Parliament and of the Council of 9 Oct. 2013 laying down the Union Customs Code, , https://eur-lex.europa.eu/legal-content/EN/TXT/?uri=CELEX:02013R0952-20200101;\n(2021) Compendium of Customs Valuation Texts, 50. , https://ec.europa.eu/taxation_customs/document/download/9a13b89e-9e5e-482e-be0b-f593d96bc815_en, also European Commission, (Online), (accessed 29 Dec. 2021);\n(2021) 33 For example, importers in Peru, a state which imposes duties on the CIF value, face the same problem: see the article (in Spanish) by Cristian Calderón, , https://lacamara.pe/cristian-calderon-mitigando-los-efectos-de-la-crisis-mundial-del-flete-maritimo/, (Web Page, 11 Oct), (accessed 29 Dec. 2021);\nhttps://www.chamber.org.il/foreigntrade/1109/1111/116962/, 34 (accessed 29 Dec. 2021); (2007) 35 Hdlt (Tel-Aviv) 26076–02-20 Adv. Israel Bachar vs. comfortability systems, , Ltd. (8 July 2020);\n36 Ecuador’s Ministry of Production, Foreign Trade, Investments and Fisheries, , https://www.produccion.gob.ec/menos-impuestos-para-aliviar-el-impacto-del-costo-del-flete-en-el-comercio-ecuatoriano/, (in Spanish) (accessed 29 Dec. 2021). originRegion=eu-west-1&amp;amp;originCreation=20211229141024 (accessed 29 Dec. 2021)","page":"113-120","publisher":"Kluwer Law International","publisher-place":"Department at Price Waterhouse Coopers (PWC), Israel","title":"The COVID-19 Pandemics’ Impact on Customs Valuation and Import Duties: An Israel Perspective, and a Wider Comparison","type":"article-journal","volume":"17"},"suppress-author":1,"uris":["http://www.mendeley.com/documents/?uuid=e7206426-523f-4571-809a-4ba0052ef0bc"]}],"mendeley":{"formattedCitation":"(2022)","plainTextFormattedCitation":"(2022)","previouslyFormattedCitation":"(2022)"},"properties":{"noteIndex":0},"schema":"https://github.com/citation-style-language/schema/raw/master/csl-citation.json"}</w:instrText>
      </w:r>
      <w:r w:rsidR="00FB0A18" w:rsidRPr="000004DB">
        <w:rPr>
          <w:rFonts w:ascii="Times New Roman" w:hAnsi="Times New Roman" w:cs="Times New Roman"/>
          <w:sz w:val="24"/>
          <w:szCs w:val="24"/>
        </w:rPr>
        <w:fldChar w:fldCharType="separate"/>
      </w:r>
      <w:r w:rsidR="00FB0A18" w:rsidRPr="000004DB">
        <w:rPr>
          <w:rFonts w:ascii="Times New Roman" w:hAnsi="Times New Roman" w:cs="Times New Roman"/>
          <w:noProof/>
          <w:sz w:val="24"/>
          <w:szCs w:val="24"/>
        </w:rPr>
        <w:t>(2022)</w:t>
      </w:r>
      <w:r w:rsidR="00FB0A18"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asserts that understanding and implementing Incoterms appropriately can reduce uncertainty in the supply chain and strengthen the competitive advantage of logistics companies.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Similarly, research by</w:t>
      </w:r>
      <w:r w:rsidR="00FB0A18" w:rsidRPr="000004DB">
        <w:rPr>
          <w:rFonts w:ascii="Times New Roman" w:hAnsi="Times New Roman" w:cs="Times New Roman"/>
          <w:sz w:val="24"/>
          <w:szCs w:val="24"/>
        </w:rPr>
        <w:t xml:space="preserve"> Davis and Vogt</w:t>
      </w:r>
      <w:r w:rsidRPr="000004DB">
        <w:rPr>
          <w:rFonts w:ascii="Times New Roman" w:hAnsi="Times New Roman" w:cs="Times New Roman"/>
          <w:sz w:val="24"/>
          <w:szCs w:val="24"/>
        </w:rPr>
        <w:t xml:space="preserve"> </w:t>
      </w:r>
      <w:r w:rsidR="00FB0A18" w:rsidRPr="000004DB">
        <w:rPr>
          <w:rFonts w:ascii="Times New Roman" w:hAnsi="Times New Roman" w:cs="Times New Roman"/>
          <w:sz w:val="24"/>
          <w:szCs w:val="24"/>
        </w:rPr>
        <w:fldChar w:fldCharType="begin" w:fldLock="1"/>
      </w:r>
      <w:r w:rsidR="00FB0A18" w:rsidRPr="000004DB">
        <w:rPr>
          <w:rFonts w:ascii="Times New Roman" w:hAnsi="Times New Roman" w:cs="Times New Roman"/>
          <w:sz w:val="24"/>
          <w:szCs w:val="24"/>
        </w:rPr>
        <w:instrText>ADDIN CSL_CITATION {"citationItems":[{"id":"ITEM-1","itemData":{"ISSN":"1911-8074","author":[{"dropping-particle":"","family":"Davis","given":"Jonathan","non-dropping-particle":"","parse-names":false,"suffix":""},{"dropping-particle":"","family":"Vogt","given":"John","non-dropping-particle":"","parse-names":false,"suffix":""}],"container-title":"Journal of risk and financial management","id":"ITEM-1","issue":"12","issued":{"date-parts":[["2021"]]},"page":"619","publisher":"MDPI","title":"Hidden supply chain risk and incoterms®: analysis and mitigation strategies","type":"article-journal","volume":"14"},"suppress-author":1,"uris":["http://www.mendeley.com/documents/?uuid=bb770c5c-8555-4a4b-9982-bd687c6904ae"]}],"mendeley":{"formattedCitation":"(2021)","plainTextFormattedCitation":"(2021)","previouslyFormattedCitation":"(2021)"},"properties":{"noteIndex":0},"schema":"https://github.com/citation-style-language/schema/raw/master/csl-citation.json"}</w:instrText>
      </w:r>
      <w:r w:rsidR="00FB0A18" w:rsidRPr="000004DB">
        <w:rPr>
          <w:rFonts w:ascii="Times New Roman" w:hAnsi="Times New Roman" w:cs="Times New Roman"/>
          <w:sz w:val="24"/>
          <w:szCs w:val="24"/>
        </w:rPr>
        <w:fldChar w:fldCharType="separate"/>
      </w:r>
      <w:r w:rsidR="00FB0A18" w:rsidRPr="000004DB">
        <w:rPr>
          <w:rFonts w:ascii="Times New Roman" w:hAnsi="Times New Roman" w:cs="Times New Roman"/>
          <w:noProof/>
          <w:sz w:val="24"/>
          <w:szCs w:val="24"/>
        </w:rPr>
        <w:t>(2021)</w:t>
      </w:r>
      <w:r w:rsidR="00FB0A18" w:rsidRPr="000004DB">
        <w:rPr>
          <w:rFonts w:ascii="Times New Roman" w:hAnsi="Times New Roman" w:cs="Times New Roman"/>
          <w:sz w:val="24"/>
          <w:szCs w:val="24"/>
        </w:rPr>
        <w:fldChar w:fldCharType="end"/>
      </w:r>
      <w:r w:rsidRPr="000004DB">
        <w:rPr>
          <w:rFonts w:ascii="Times New Roman" w:hAnsi="Times New Roman" w:cs="Times New Roman"/>
          <w:sz w:val="24"/>
          <w:szCs w:val="24"/>
        </w:rPr>
        <w:t xml:space="preserve"> found that companies that strategically adapt their Incoterm selection to market conditions and transportation modes can improve operational efficiency and foster long-term relationships with international customers.</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Furthermore, these results support the findings of Sugiono et al</w:t>
      </w:r>
      <w:r w:rsidR="00453D9D" w:rsidRPr="000004DB">
        <w:rPr>
          <w:rFonts w:ascii="Times New Roman" w:hAnsi="Times New Roman" w:cs="Times New Roman"/>
          <w:sz w:val="24"/>
          <w:szCs w:val="24"/>
        </w:rPr>
        <w:t>. (Sugiono et al., 2023, 2024</w:t>
      </w:r>
      <w:r w:rsidR="00E07A2A" w:rsidRPr="000004DB">
        <w:rPr>
          <w:rFonts w:ascii="Times New Roman" w:hAnsi="Times New Roman" w:cs="Times New Roman"/>
          <w:sz w:val="24"/>
          <w:szCs w:val="24"/>
        </w:rPr>
        <w:t xml:space="preserve"> </w:t>
      </w:r>
      <w:r w:rsidRPr="000004DB">
        <w:rPr>
          <w:rFonts w:ascii="Times New Roman" w:hAnsi="Times New Roman" w:cs="Times New Roman"/>
          <w:sz w:val="24"/>
          <w:szCs w:val="24"/>
        </w:rPr>
        <w:t>in the Indonesian context, which showed that Incoterms play a crucial role in building competitive advantage for freight forwarding companies. However, this study expands on these findings by demonstrating that it is not just the availability of Incoterms in general, but rather a company's ability to select and adapt Incoterms that determines the extent to which competitive advantage can be achieved.</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From a practical perspective, these results have important implications for freight forwarding managers in Indonesia.</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Many companies still view Incoterms as merely formal obligations in trade contracts, even though these decisions directly impact cost structures, risk levels, and the </w:t>
      </w:r>
      <w:r w:rsidR="00453D9D" w:rsidRPr="000004DB">
        <w:rPr>
          <w:rFonts w:ascii="Times New Roman" w:hAnsi="Times New Roman" w:cs="Times New Roman"/>
          <w:sz w:val="24"/>
          <w:szCs w:val="24"/>
        </w:rPr>
        <w:t>S</w:t>
      </w:r>
      <w:r w:rsidRPr="000004DB">
        <w:rPr>
          <w:rFonts w:ascii="Times New Roman" w:hAnsi="Times New Roman" w:cs="Times New Roman"/>
          <w:sz w:val="24"/>
          <w:szCs w:val="24"/>
        </w:rPr>
        <w:t xml:space="preserve">peed of delivery completion </w:t>
      </w:r>
      <w:r w:rsidR="00E07A2A" w:rsidRPr="000004DB">
        <w:rPr>
          <w:rFonts w:ascii="Times New Roman" w:hAnsi="Times New Roman" w:cs="Times New Roman"/>
          <w:sz w:val="24"/>
          <w:szCs w:val="24"/>
        </w:rPr>
        <w:fldChar w:fldCharType="begin" w:fldLock="1"/>
      </w:r>
      <w:r w:rsidR="00E07A2A" w:rsidRPr="000004DB">
        <w:rPr>
          <w:rFonts w:ascii="Times New Roman" w:hAnsi="Times New Roman" w:cs="Times New Roman"/>
          <w:sz w:val="24"/>
          <w:szCs w:val="24"/>
        </w:rPr>
        <w:instrText>ADDIN CSL_CITATION {"citationItems":[{"id":"ITEM-1","itemData":{"ISSN":"1756-9850","author":[{"dropping-particle":"","family":"Bergami","given":"Roberto","non-dropping-particle":"","parse-names":false,"suffix":""},{"dropping-particle":"","family":"Tichá","given":"Lucie","non-dropping-particle":"","parse-names":false,"suffix":""}],"container-title":"International Journal of Economics and Business Research","id":"ITEM-1","issue":"2","issued":{"date-parts":[["2022"]]},"page":"255-273","publisher":"Inderscience Publishers (IEL)","title":"Managing Incoterms® 2020 export risks","type":"article-journal","volume":"23"},"uris":["http://www.mendeley.com/documents/?uuid=f8fce598-8945-4297-9301-ed56a812d507"]}],"mendeley":{"formattedCitation":"(Bergami and Tichá, 2022)","plainTextFormattedCitation":"(Bergami and Tichá, 2022)","previouslyFormattedCitation":"(Bergami and Tichá, 2022)"},"properties":{"noteIndex":0},"schema":"https://github.com/citation-style-language/schema/raw/master/csl-citation.json"}</w:instrText>
      </w:r>
      <w:r w:rsidR="00E07A2A" w:rsidRPr="000004DB">
        <w:rPr>
          <w:rFonts w:ascii="Times New Roman" w:hAnsi="Times New Roman" w:cs="Times New Roman"/>
          <w:sz w:val="24"/>
          <w:szCs w:val="24"/>
        </w:rPr>
        <w:fldChar w:fldCharType="separate"/>
      </w:r>
      <w:r w:rsidR="00E07A2A" w:rsidRPr="000004DB">
        <w:rPr>
          <w:rFonts w:ascii="Times New Roman" w:hAnsi="Times New Roman" w:cs="Times New Roman"/>
          <w:noProof/>
          <w:sz w:val="24"/>
          <w:szCs w:val="24"/>
        </w:rPr>
        <w:t>(Bergami and Tichá, 2022)</w:t>
      </w:r>
      <w:r w:rsidR="00E07A2A" w:rsidRPr="000004DB">
        <w:rPr>
          <w:rFonts w:ascii="Times New Roman" w:hAnsi="Times New Roman" w:cs="Times New Roman"/>
          <w:sz w:val="24"/>
          <w:szCs w:val="24"/>
        </w:rPr>
        <w:fldChar w:fldCharType="end"/>
      </w:r>
      <w:r w:rsidRPr="000004DB">
        <w:rPr>
          <w:rFonts w:ascii="Times New Roman" w:hAnsi="Times New Roman" w:cs="Times New Roman"/>
          <w:sz w:val="24"/>
          <w:szCs w:val="24"/>
        </w:rPr>
        <w:t>.</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Therefore, the ability of staff and managers to understand and apply Incoterms appropriately should be viewed as a strategic competency.</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Companies that master this aspect are not only able to better meet customer needs but also create service differentiation that is difficult for competitors to imitate.</w:t>
      </w:r>
    </w:p>
    <w:p w14:paraId="716EBC10" w14:textId="77777777" w:rsidR="00514C55" w:rsidRPr="000004DB" w:rsidRDefault="00D06CD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Overall, the results of this study support the </w:t>
      </w:r>
      <w:r w:rsidR="00FC6D9A" w:rsidRPr="000004DB">
        <w:rPr>
          <w:rFonts w:ascii="Times New Roman" w:hAnsi="Times New Roman" w:cs="Times New Roman"/>
          <w:sz w:val="24"/>
          <w:szCs w:val="24"/>
        </w:rPr>
        <w:t>existing literature, which suggests</w:t>
      </w:r>
      <w:r w:rsidRPr="000004DB">
        <w:rPr>
          <w:rFonts w:ascii="Times New Roman" w:hAnsi="Times New Roman" w:cs="Times New Roman"/>
          <w:sz w:val="24"/>
          <w:szCs w:val="24"/>
        </w:rPr>
        <w:t xml:space="preserve"> that Incoterm selection is a key determinant of competitive advantage in the logistics and freight forwarding industry.</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Therefore, companies need to position Incoterm selection as part of their business strategy, rather than simply as an administrative aspect, to increase their competitiveness in an increasingly competitive global marketplace.</w:t>
      </w:r>
    </w:p>
    <w:p w14:paraId="58DDECE8" w14:textId="35A40C0A" w:rsidR="00A46C32" w:rsidRPr="000004DB" w:rsidRDefault="004100E9" w:rsidP="00AE1636">
      <w:pPr>
        <w:tabs>
          <w:tab w:val="left" w:pos="1134"/>
        </w:tabs>
        <w:spacing w:after="0" w:line="276" w:lineRule="auto"/>
        <w:ind w:firstLine="567"/>
        <w:jc w:val="both"/>
        <w:rPr>
          <w:rFonts w:ascii="Times New Roman" w:hAnsi="Times New Roman" w:cs="Times New Roman"/>
          <w:sz w:val="24"/>
          <w:szCs w:val="24"/>
        </w:rPr>
      </w:pPr>
      <w:r w:rsidRPr="000004DB">
        <w:rPr>
          <w:rFonts w:ascii="Times New Roman" w:hAnsi="Times New Roman" w:cs="Times New Roman"/>
          <w:sz w:val="24"/>
          <w:szCs w:val="24"/>
        </w:rPr>
        <w:t xml:space="preserve">Overall, the results of this study confirm that digital transformation is a crucial enabler of competitive advantage in freight forwarding companies, complementing the </w:t>
      </w:r>
      <w:r w:rsidR="00FC6D9A" w:rsidRPr="000004DB">
        <w:rPr>
          <w:rFonts w:ascii="Times New Roman" w:hAnsi="Times New Roman" w:cs="Times New Roman"/>
          <w:sz w:val="24"/>
          <w:szCs w:val="24"/>
        </w:rPr>
        <w:t>strategic contractual decision of Incoterms select</w:t>
      </w:r>
      <w:r w:rsidRPr="000004DB">
        <w:rPr>
          <w:rFonts w:ascii="Times New Roman" w:hAnsi="Times New Roman" w:cs="Times New Roman"/>
          <w:sz w:val="24"/>
          <w:szCs w:val="24"/>
        </w:rPr>
        <w:t>ion.</w:t>
      </w:r>
      <w:r w:rsidR="00FC6D9A" w:rsidRPr="000004DB">
        <w:rPr>
          <w:rFonts w:ascii="Times New Roman" w:hAnsi="Times New Roman" w:cs="Times New Roman"/>
          <w:sz w:val="24"/>
          <w:szCs w:val="24"/>
        </w:rPr>
        <w:t xml:space="preserve"> </w:t>
      </w:r>
      <w:r w:rsidRPr="000004DB">
        <w:rPr>
          <w:rFonts w:ascii="Times New Roman" w:hAnsi="Times New Roman" w:cs="Times New Roman"/>
          <w:sz w:val="24"/>
          <w:szCs w:val="24"/>
        </w:rPr>
        <w:t xml:space="preserve"> Integrating technology-driven innovations with contract-based trade strategies provides a comprehensive foundation for achieving sustainable competitiveness in the international logistics industry.</w:t>
      </w:r>
    </w:p>
    <w:p w14:paraId="54D65732" w14:textId="77777777" w:rsidR="00A46C32" w:rsidRPr="000004DB" w:rsidRDefault="00A46C32" w:rsidP="00AE1636">
      <w:pPr>
        <w:tabs>
          <w:tab w:val="left" w:pos="1134"/>
        </w:tabs>
        <w:spacing w:after="0" w:line="276" w:lineRule="auto"/>
        <w:jc w:val="both"/>
        <w:rPr>
          <w:rFonts w:ascii="Times New Roman" w:hAnsi="Times New Roman" w:cs="Times New Roman"/>
          <w:sz w:val="24"/>
          <w:szCs w:val="24"/>
        </w:rPr>
      </w:pPr>
    </w:p>
    <w:p w14:paraId="3DDC0DFA" w14:textId="77777777" w:rsidR="00D06CD9" w:rsidRPr="000004DB" w:rsidRDefault="00E66B7A" w:rsidP="00AE1636">
      <w:pPr>
        <w:tabs>
          <w:tab w:val="left" w:pos="1134"/>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Novelty, Theor</w:t>
      </w:r>
      <w:r w:rsidR="007A4DE7" w:rsidRPr="000004DB">
        <w:rPr>
          <w:rFonts w:ascii="Times New Roman" w:hAnsi="Times New Roman" w:cs="Times New Roman"/>
          <w:b/>
          <w:bCs/>
          <w:sz w:val="24"/>
          <w:szCs w:val="24"/>
        </w:rPr>
        <w:t>e</w:t>
      </w:r>
      <w:r w:rsidRPr="000004DB">
        <w:rPr>
          <w:rFonts w:ascii="Times New Roman" w:hAnsi="Times New Roman" w:cs="Times New Roman"/>
          <w:b/>
          <w:bCs/>
          <w:sz w:val="24"/>
          <w:szCs w:val="24"/>
        </w:rPr>
        <w:t>tical, Practical</w:t>
      </w:r>
      <w:r w:rsidR="007A4DE7" w:rsidRPr="000004DB">
        <w:rPr>
          <w:rFonts w:ascii="Times New Roman" w:hAnsi="Times New Roman" w:cs="Times New Roman"/>
          <w:b/>
          <w:bCs/>
          <w:sz w:val="24"/>
          <w:szCs w:val="24"/>
        </w:rPr>
        <w:t>,</w:t>
      </w:r>
      <w:r w:rsidRPr="000004DB">
        <w:rPr>
          <w:rFonts w:ascii="Times New Roman" w:hAnsi="Times New Roman" w:cs="Times New Roman"/>
          <w:b/>
          <w:bCs/>
          <w:sz w:val="24"/>
          <w:szCs w:val="24"/>
        </w:rPr>
        <w:t xml:space="preserve"> and Managerial Implication</w:t>
      </w:r>
      <w:r w:rsidR="00453D9D" w:rsidRPr="000004DB">
        <w:rPr>
          <w:rFonts w:ascii="Times New Roman" w:hAnsi="Times New Roman" w:cs="Times New Roman"/>
          <w:b/>
          <w:bCs/>
          <w:sz w:val="24"/>
          <w:szCs w:val="24"/>
        </w:rPr>
        <w:t>s</w:t>
      </w:r>
    </w:p>
    <w:p w14:paraId="07E8B207" w14:textId="77777777" w:rsidR="00514C55" w:rsidRPr="000004DB" w:rsidRDefault="00DB0B37" w:rsidP="00AE1636">
      <w:pPr>
        <w:tabs>
          <w:tab w:val="left" w:pos="1134"/>
        </w:tabs>
        <w:spacing w:after="0" w:line="276" w:lineRule="auto"/>
        <w:ind w:firstLine="567"/>
        <w:jc w:val="both"/>
        <w:rPr>
          <w:rFonts w:ascii="Times New Roman" w:eastAsia="Times New Roman" w:hAnsi="Times New Roman" w:cs="Times New Roman"/>
          <w:sz w:val="24"/>
          <w:szCs w:val="24"/>
          <w:lang w:eastAsia="en-ID"/>
        </w:rPr>
      </w:pPr>
      <w:r w:rsidRPr="000004DB">
        <w:rPr>
          <w:rFonts w:ascii="Times New Roman" w:eastAsia="Times New Roman" w:hAnsi="Times New Roman" w:cs="Times New Roman"/>
          <w:sz w:val="24"/>
          <w:szCs w:val="24"/>
          <w:lang w:eastAsia="en-ID"/>
        </w:rPr>
        <w:t>This research offers several novelties compared to previous literature—first, contextual novelty.</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Most prior studies on digital transformation in logistics emphasize shipping lines, ports, or large multinational logistics providers, while the perspective of freight forwarders as intermediaries in global trade remains underexplored.</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By examining freight forwarding companies in Indonesia, this research not only highlights a rarely studied stakeholder but also provides geographic novelty by presenting empirical evidence from a developing country, </w:t>
      </w:r>
      <w:r w:rsidRPr="000004DB">
        <w:rPr>
          <w:rFonts w:ascii="Times New Roman" w:eastAsia="Times New Roman" w:hAnsi="Times New Roman" w:cs="Times New Roman"/>
          <w:sz w:val="24"/>
          <w:szCs w:val="24"/>
          <w:lang w:eastAsia="en-ID"/>
        </w:rPr>
        <w:lastRenderedPageBreak/>
        <w:t>where technological adoption and contractual practices differ significantly from those in developed economies.</w:t>
      </w:r>
    </w:p>
    <w:p w14:paraId="31EDCAED" w14:textId="77777777" w:rsidR="00514C55" w:rsidRPr="000004DB" w:rsidRDefault="00DB0B37" w:rsidP="00AE1636">
      <w:pPr>
        <w:tabs>
          <w:tab w:val="left" w:pos="1134"/>
        </w:tabs>
        <w:spacing w:after="0" w:line="276" w:lineRule="auto"/>
        <w:ind w:firstLine="567"/>
        <w:jc w:val="both"/>
        <w:rPr>
          <w:rFonts w:ascii="Times New Roman" w:eastAsia="Times New Roman" w:hAnsi="Times New Roman" w:cs="Times New Roman"/>
          <w:sz w:val="24"/>
          <w:szCs w:val="24"/>
          <w:lang w:eastAsia="en-ID"/>
        </w:rPr>
      </w:pPr>
      <w:r w:rsidRPr="000004DB">
        <w:rPr>
          <w:rFonts w:ascii="Times New Roman" w:eastAsia="Times New Roman" w:hAnsi="Times New Roman" w:cs="Times New Roman"/>
          <w:sz w:val="24"/>
          <w:szCs w:val="24"/>
          <w:lang w:eastAsia="en-ID"/>
        </w:rPr>
        <w:t>Second, conceptual novelty.</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Previous studies tend to </w:t>
      </w:r>
      <w:proofErr w:type="spellStart"/>
      <w:r w:rsidRPr="000004DB">
        <w:rPr>
          <w:rFonts w:ascii="Times New Roman" w:eastAsia="Times New Roman" w:hAnsi="Times New Roman" w:cs="Times New Roman"/>
          <w:sz w:val="24"/>
          <w:szCs w:val="24"/>
          <w:lang w:eastAsia="en-ID"/>
        </w:rPr>
        <w:t>analyze</w:t>
      </w:r>
      <w:proofErr w:type="spellEnd"/>
      <w:r w:rsidRPr="000004DB">
        <w:rPr>
          <w:rFonts w:ascii="Times New Roman" w:eastAsia="Times New Roman" w:hAnsi="Times New Roman" w:cs="Times New Roman"/>
          <w:sz w:val="24"/>
          <w:szCs w:val="24"/>
          <w:lang w:eastAsia="en-ID"/>
        </w:rPr>
        <w:t xml:space="preserve"> digital transformation as a purely technological phenomenon and Incoterms as a separate contractual instrument.</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This research integrates the two constructs simultaneously, linking technology adoption (Digital Transformation) with contractual decision-making (Incoterm Selection) in explaining Competitive Advantage.</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Such integration is still rare in logistics and supply chain management research, thus contributing a significant conceptual advancement.</w:t>
      </w:r>
    </w:p>
    <w:p w14:paraId="5E0BDEE2" w14:textId="77777777" w:rsidR="00514C55" w:rsidRPr="000004DB" w:rsidRDefault="00DB0B37" w:rsidP="00AE1636">
      <w:pPr>
        <w:tabs>
          <w:tab w:val="left" w:pos="1134"/>
        </w:tabs>
        <w:spacing w:after="0" w:line="276" w:lineRule="auto"/>
        <w:ind w:firstLine="567"/>
        <w:jc w:val="both"/>
        <w:rPr>
          <w:rFonts w:ascii="Times New Roman" w:eastAsia="Times New Roman" w:hAnsi="Times New Roman" w:cs="Times New Roman"/>
          <w:sz w:val="24"/>
          <w:szCs w:val="24"/>
          <w:lang w:eastAsia="en-ID"/>
        </w:rPr>
      </w:pPr>
      <w:r w:rsidRPr="000004DB">
        <w:rPr>
          <w:rFonts w:ascii="Times New Roman" w:eastAsia="Times New Roman" w:hAnsi="Times New Roman" w:cs="Times New Roman"/>
          <w:sz w:val="24"/>
          <w:szCs w:val="24"/>
          <w:lang w:eastAsia="en-ID"/>
        </w:rPr>
        <w:t>Third, methodological novelty.</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While much of the existing literature relies on conceptual discussions or qualitative case studies, this study employs a quantitative PLS-SEM approach using survey data from 130 freight forwarding companies.</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This methodological choice strengthens the robustness of the findings by providing empirical validation that goes beyond descriptive analysis.</w:t>
      </w:r>
    </w:p>
    <w:p w14:paraId="57A7D7F3" w14:textId="77777777" w:rsidR="00514C55" w:rsidRPr="000004DB" w:rsidRDefault="00DB0B37" w:rsidP="00AE1636">
      <w:pPr>
        <w:tabs>
          <w:tab w:val="left" w:pos="1134"/>
        </w:tabs>
        <w:spacing w:after="0" w:line="276" w:lineRule="auto"/>
        <w:ind w:firstLine="567"/>
        <w:jc w:val="both"/>
        <w:rPr>
          <w:rFonts w:ascii="Times New Roman" w:eastAsia="Times New Roman" w:hAnsi="Times New Roman" w:cs="Times New Roman"/>
          <w:sz w:val="24"/>
          <w:szCs w:val="24"/>
          <w:lang w:eastAsia="en-ID"/>
        </w:rPr>
      </w:pPr>
      <w:r w:rsidRPr="000004DB">
        <w:rPr>
          <w:rFonts w:ascii="Times New Roman" w:eastAsia="Times New Roman" w:hAnsi="Times New Roman" w:cs="Times New Roman"/>
          <w:sz w:val="24"/>
          <w:szCs w:val="24"/>
          <w:lang w:eastAsia="en-ID"/>
        </w:rPr>
        <w:t>Fourth, theoretical novelty.</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This study extends the application of the Resource-Based View (RBV) by demonstrating that competitive advantage in freight forwarding does not solely depend on internal resources, but also on the ability to combine digital capabilities with strategic contractual choices.</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This dual perspective enriches the theoretical discourse in logistics and freight forwarding studies.</w:t>
      </w:r>
    </w:p>
    <w:p w14:paraId="63ECBF3F" w14:textId="29D7D234" w:rsidR="00DB0B37" w:rsidRPr="000004DB" w:rsidRDefault="00DB0B37" w:rsidP="00AE1636">
      <w:pPr>
        <w:tabs>
          <w:tab w:val="left" w:pos="1134"/>
        </w:tabs>
        <w:spacing w:after="0" w:line="276" w:lineRule="auto"/>
        <w:ind w:firstLine="567"/>
        <w:jc w:val="both"/>
        <w:rPr>
          <w:rFonts w:ascii="Times New Roman" w:eastAsia="Times New Roman" w:hAnsi="Times New Roman" w:cs="Times New Roman"/>
          <w:sz w:val="24"/>
          <w:szCs w:val="24"/>
          <w:lang w:eastAsia="en-ID"/>
        </w:rPr>
      </w:pPr>
      <w:r w:rsidRPr="000004DB">
        <w:rPr>
          <w:rFonts w:ascii="Times New Roman" w:eastAsia="Times New Roman" w:hAnsi="Times New Roman" w:cs="Times New Roman"/>
          <w:sz w:val="24"/>
          <w:szCs w:val="24"/>
          <w:lang w:eastAsia="en-ID"/>
        </w:rPr>
        <w:t>Finally, practical novelty.</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The study confirms that digital transformation should be treated not merely as a technical upgrade but as a strategic enabler of competitiveness.</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At the same time, Incoterm selection should be considered a deliberate business strategy, not just an administrative routine.</w:t>
      </w:r>
      <w:r w:rsidR="00FC6D9A" w:rsidRPr="000004DB">
        <w:rPr>
          <w:rFonts w:ascii="Times New Roman" w:eastAsia="Times New Roman" w:hAnsi="Times New Roman" w:cs="Times New Roman"/>
          <w:sz w:val="24"/>
          <w:szCs w:val="24"/>
          <w:lang w:eastAsia="en-ID"/>
        </w:rPr>
        <w:t xml:space="preserve"> </w:t>
      </w:r>
      <w:r w:rsidRPr="000004DB">
        <w:rPr>
          <w:rFonts w:ascii="Times New Roman" w:eastAsia="Times New Roman" w:hAnsi="Times New Roman" w:cs="Times New Roman"/>
          <w:sz w:val="24"/>
          <w:szCs w:val="24"/>
          <w:lang w:eastAsia="en-ID"/>
        </w:rPr>
        <w:t xml:space="preserve"> For freight forwarding managers, this dual focus </w:t>
      </w:r>
      <w:r w:rsidR="00FC6D9A" w:rsidRPr="000004DB">
        <w:rPr>
          <w:rFonts w:ascii="Times New Roman" w:eastAsia="Times New Roman" w:hAnsi="Times New Roman" w:cs="Times New Roman"/>
          <w:sz w:val="24"/>
          <w:szCs w:val="24"/>
          <w:lang w:eastAsia="en-ID"/>
        </w:rPr>
        <w:t>underscores that leveraging digital tools and making informed Incoterms choices together provides a stronger foundation for achieving a</w:t>
      </w:r>
      <w:r w:rsidRPr="000004DB">
        <w:rPr>
          <w:rFonts w:ascii="Times New Roman" w:eastAsia="Times New Roman" w:hAnsi="Times New Roman" w:cs="Times New Roman"/>
          <w:sz w:val="24"/>
          <w:szCs w:val="24"/>
          <w:lang w:eastAsia="en-ID"/>
        </w:rPr>
        <w:t xml:space="preserve"> sustainable competitive advantage in dynamic global markets.</w:t>
      </w:r>
    </w:p>
    <w:p w14:paraId="1441C055" w14:textId="77777777" w:rsidR="00514C55" w:rsidRPr="000004DB" w:rsidRDefault="00514C55" w:rsidP="00AE1636">
      <w:pPr>
        <w:tabs>
          <w:tab w:val="left" w:pos="1134"/>
        </w:tabs>
        <w:spacing w:after="0" w:line="276" w:lineRule="auto"/>
        <w:jc w:val="both"/>
        <w:rPr>
          <w:rFonts w:ascii="Times New Roman" w:hAnsi="Times New Roman" w:cs="Times New Roman"/>
          <w:b/>
          <w:bCs/>
          <w:sz w:val="24"/>
          <w:szCs w:val="24"/>
        </w:rPr>
      </w:pPr>
    </w:p>
    <w:p w14:paraId="0C71CAF4" w14:textId="05BBE4B6" w:rsidR="00064085" w:rsidRPr="000004DB" w:rsidRDefault="00064085" w:rsidP="00AE1636">
      <w:pPr>
        <w:tabs>
          <w:tab w:val="left" w:pos="1134"/>
        </w:tabs>
        <w:spacing w:after="0" w:line="276" w:lineRule="auto"/>
        <w:jc w:val="both"/>
        <w:rPr>
          <w:rFonts w:ascii="Times New Roman" w:eastAsia="Times New Roman" w:hAnsi="Times New Roman" w:cs="Times New Roman"/>
          <w:sz w:val="24"/>
          <w:szCs w:val="24"/>
          <w:lang w:eastAsia="en-ID"/>
        </w:rPr>
      </w:pPr>
      <w:r w:rsidRPr="000004DB">
        <w:rPr>
          <w:rFonts w:ascii="Times New Roman" w:hAnsi="Times New Roman" w:cs="Times New Roman"/>
          <w:b/>
          <w:bCs/>
          <w:sz w:val="24"/>
          <w:szCs w:val="24"/>
        </w:rPr>
        <w:t>Conclusion</w:t>
      </w:r>
    </w:p>
    <w:p w14:paraId="08702DC8" w14:textId="77777777" w:rsidR="001D5A0A" w:rsidRPr="001D5A0A" w:rsidRDefault="001D5A0A" w:rsidP="001D5A0A">
      <w:pPr>
        <w:tabs>
          <w:tab w:val="left" w:pos="1134"/>
        </w:tabs>
        <w:spacing w:after="0" w:line="276" w:lineRule="auto"/>
        <w:ind w:firstLine="567"/>
        <w:jc w:val="both"/>
        <w:rPr>
          <w:rFonts w:ascii="Times New Roman" w:hAnsi="Times New Roman" w:cs="Times New Roman"/>
          <w:sz w:val="24"/>
          <w:szCs w:val="24"/>
        </w:rPr>
      </w:pPr>
      <w:r w:rsidRPr="001D5A0A">
        <w:rPr>
          <w:rFonts w:ascii="Times New Roman" w:hAnsi="Times New Roman" w:cs="Times New Roman"/>
          <w:sz w:val="24"/>
          <w:szCs w:val="24"/>
        </w:rPr>
        <w:t>Based on the findings of this study, it can be concluded that both digital transformation and strategic Incoterm selection play pivotal and statistically significant roles in enhancing the competitive advantage of Indonesian freight forwarders. The empirical analysis demonstrates that digital transformation, characterized by the adoption of e-documentation, real-time tracking, and system integration, substantially improves operational efficiency, service reliability, and customer responsiveness. Simultaneously, the strategic selection of Incoterms, which involves careful consideration of risk allocation, cost control, and delivery responsibilities, serves as a critical contractual mechanism for strengthening market positioning and mitigating trade-related uncertainties. Together, these factors explain 94.7% of the variance in competitive advantage, underscoring their combined potency as drivers of sustainable competitiveness in an increasingly digital and regulated global trade environment.</w:t>
      </w:r>
    </w:p>
    <w:p w14:paraId="23511376" w14:textId="69DCE78E" w:rsidR="00A46C32" w:rsidRPr="000004DB" w:rsidRDefault="001D5A0A" w:rsidP="001D5A0A">
      <w:pPr>
        <w:tabs>
          <w:tab w:val="left" w:pos="1134"/>
        </w:tabs>
        <w:spacing w:after="0" w:line="276" w:lineRule="auto"/>
        <w:ind w:firstLine="567"/>
        <w:jc w:val="both"/>
        <w:rPr>
          <w:rFonts w:ascii="Times New Roman" w:hAnsi="Times New Roman" w:cs="Times New Roman"/>
          <w:sz w:val="24"/>
          <w:szCs w:val="24"/>
        </w:rPr>
      </w:pPr>
      <w:r w:rsidRPr="001D5A0A">
        <w:rPr>
          <w:rFonts w:ascii="Times New Roman" w:hAnsi="Times New Roman" w:cs="Times New Roman"/>
          <w:sz w:val="24"/>
          <w:szCs w:val="24"/>
        </w:rPr>
        <w:t xml:space="preserve">For future research, it is recommended to expand this study longitudinally to examine how the relationships among digital transformation, Incoterm usage, and competitive advantage evolve over time, particularly as technologies such as AI and blockchain become more integrated into logistics operations. Additionally, further investigation could explore moderating variables such as firm size, international experience, and regulatory differences across markets to provide more nuanced strategic insights. Comparative studies across other </w:t>
      </w:r>
      <w:r w:rsidRPr="001D5A0A">
        <w:rPr>
          <w:rFonts w:ascii="Times New Roman" w:hAnsi="Times New Roman" w:cs="Times New Roman"/>
          <w:sz w:val="24"/>
          <w:szCs w:val="24"/>
        </w:rPr>
        <w:lastRenderedPageBreak/>
        <w:t>emerging economies would also help validate the generalizability of the findings, while qualitative approaches could deepen understanding of the decision-making processes behind digital adoption and Incoterm selection. Finally, research could examine the role of emerging sustainability requirements and green logistics practices as additional factors shaping competitive advantage in the freight forwarding sector</w:t>
      </w:r>
      <w:r w:rsidR="00DB0B37" w:rsidRPr="000004DB">
        <w:rPr>
          <w:rFonts w:ascii="Times New Roman" w:hAnsi="Times New Roman" w:cs="Times New Roman"/>
          <w:sz w:val="24"/>
          <w:szCs w:val="24"/>
        </w:rPr>
        <w:t>.</w:t>
      </w:r>
      <w:r w:rsidR="00A46C32" w:rsidRPr="000004DB">
        <w:rPr>
          <w:rFonts w:ascii="Times New Roman" w:hAnsi="Times New Roman" w:cs="Times New Roman"/>
          <w:sz w:val="24"/>
          <w:szCs w:val="24"/>
        </w:rPr>
        <w:t xml:space="preserve"> </w:t>
      </w:r>
    </w:p>
    <w:p w14:paraId="50D38902" w14:textId="77777777" w:rsidR="00E32213" w:rsidRPr="000004DB" w:rsidRDefault="00E32213" w:rsidP="00AE1636">
      <w:pPr>
        <w:tabs>
          <w:tab w:val="left" w:pos="1134"/>
        </w:tabs>
        <w:spacing w:after="0" w:line="276" w:lineRule="auto"/>
        <w:jc w:val="both"/>
        <w:rPr>
          <w:rFonts w:ascii="Times New Roman" w:hAnsi="Times New Roman" w:cs="Times New Roman"/>
          <w:b/>
          <w:bCs/>
          <w:sz w:val="24"/>
          <w:szCs w:val="24"/>
        </w:rPr>
      </w:pPr>
    </w:p>
    <w:p w14:paraId="383B2583" w14:textId="77777777" w:rsidR="003A7B19" w:rsidRPr="000004DB" w:rsidRDefault="009A35DB" w:rsidP="00AE1636">
      <w:pPr>
        <w:tabs>
          <w:tab w:val="left" w:pos="1134"/>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t>References</w:t>
      </w:r>
    </w:p>
    <w:p w14:paraId="501ADA2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b/>
          <w:bCs/>
          <w:sz w:val="24"/>
          <w:szCs w:val="24"/>
        </w:rPr>
        <w:fldChar w:fldCharType="begin" w:fldLock="1"/>
      </w:r>
      <w:r w:rsidRPr="000004DB">
        <w:rPr>
          <w:rFonts w:ascii="Times New Roman" w:hAnsi="Times New Roman" w:cs="Times New Roman"/>
          <w:b/>
          <w:bCs/>
          <w:sz w:val="24"/>
          <w:szCs w:val="24"/>
        </w:rPr>
        <w:instrText xml:space="preserve">ADDIN Mendeley Bibliography CSL_BIBLIOGRAPHY </w:instrText>
      </w:r>
      <w:r w:rsidRPr="000004DB">
        <w:rPr>
          <w:rFonts w:ascii="Times New Roman" w:hAnsi="Times New Roman" w:cs="Times New Roman"/>
          <w:b/>
          <w:bCs/>
          <w:sz w:val="24"/>
          <w:szCs w:val="24"/>
        </w:rPr>
        <w:fldChar w:fldCharType="separate"/>
      </w:r>
      <w:r w:rsidRPr="000004DB">
        <w:rPr>
          <w:rFonts w:ascii="Times New Roman" w:hAnsi="Times New Roman" w:cs="Times New Roman"/>
          <w:noProof/>
          <w:sz w:val="24"/>
          <w:szCs w:val="24"/>
        </w:rPr>
        <w:t>Achmad Kuncoro, E., 2015. Factors that Affect Competitive Advantage in Freight Forwarding Industry on Jakarta-Indonesia. Adv. Sci. Lett. 21, 1008–1011. https://doi.org/10.1166/asl.2015.5968</w:t>
      </w:r>
    </w:p>
    <w:p w14:paraId="312FA93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Albrecht, T., Baier, M.-S., Gimpel, H., Meierhöfer, S., Röglinger, M., Schlüchtermann, J., Will, L., 2024. Leveraging digital technologies in logistics 4.0: Insights on affordances from intralogistics processes. Inf. Syst. Front. 26, 755–774.</w:t>
      </w:r>
    </w:p>
    <w:p w14:paraId="0C7A77EC" w14:textId="77777777" w:rsidR="00B22419" w:rsidRPr="00362781"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BR"/>
        </w:rPr>
      </w:pPr>
      <w:r w:rsidRPr="000004DB">
        <w:rPr>
          <w:rFonts w:ascii="Times New Roman" w:hAnsi="Times New Roman" w:cs="Times New Roman"/>
          <w:noProof/>
          <w:sz w:val="24"/>
          <w:szCs w:val="24"/>
        </w:rPr>
        <w:t xml:space="preserve">Avsar, V., Batmaz, O., 2022. Legal, Financial, and Strategic Forces in Cross-border Delivery Terms. </w:t>
      </w:r>
      <w:r w:rsidRPr="00362781">
        <w:rPr>
          <w:rFonts w:ascii="Times New Roman" w:hAnsi="Times New Roman" w:cs="Times New Roman"/>
          <w:noProof/>
          <w:sz w:val="24"/>
          <w:szCs w:val="24"/>
          <w:lang w:val="pt-BR"/>
        </w:rPr>
        <w:t>Emerg. Mark. Financ. Trade 58, 3609–3621. https://doi.org/10.1080/1540496X.2022.2051811</w:t>
      </w:r>
    </w:p>
    <w:p w14:paraId="5157584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62781">
        <w:rPr>
          <w:rFonts w:ascii="Times New Roman" w:hAnsi="Times New Roman" w:cs="Times New Roman"/>
          <w:noProof/>
          <w:sz w:val="24"/>
          <w:szCs w:val="24"/>
          <w:lang w:val="pt-BR"/>
        </w:rPr>
        <w:t xml:space="preserve">Baena-rojas, J.J., Cano, J.A., Baena-rojas, J.J., Cano, J.A., 2022. </w:t>
      </w:r>
      <w:r w:rsidRPr="000004DB">
        <w:rPr>
          <w:rFonts w:ascii="Times New Roman" w:hAnsi="Times New Roman" w:cs="Times New Roman"/>
          <w:noProof/>
          <w:sz w:val="24"/>
          <w:szCs w:val="24"/>
        </w:rPr>
        <w:t>Technique for estimation of costs and prices in contracts for the international sale technique for estimation of costs and prices in contracts for the international sale of goods based on incoterms ® 171–181. https://doi.org/10.22306/al.v9i2.291</w:t>
      </w:r>
    </w:p>
    <w:p w14:paraId="1EE2507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Basterretxea, I., Martínez, R., 2012. Impact of management and innovation capabilities on performance: Are cooperatives different? Ann. Public Coop. Econ. 83, 357–381.</w:t>
      </w:r>
    </w:p>
    <w:p w14:paraId="6B35D9AB"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Bergami, R., Tichá, L., 2022. Managing Incoterms® 2020 export risks. Int. J. Econ. Bus. Res. 23, 255–273.</w:t>
      </w:r>
    </w:p>
    <w:p w14:paraId="0BEC594E"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Bharadwaj, S.G., Varadarajan, P.R., Fahy, J., 1993. Sustainable competitive advantage in service industries: a conceptual model and research propositions. J. Mark. 57, 83–99.</w:t>
      </w:r>
    </w:p>
    <w:p w14:paraId="052AB34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Burkovskis, R., 2008. Efficiency of freight forwarder’s participation in the process of transportation. Transport 23, 208–213. https://doi.org/10.3846/1648-4142.2008.23.208-213</w:t>
      </w:r>
    </w:p>
    <w:p w14:paraId="522C1ECE"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Chung, J.-H., Lee, B.-S., 2013. A genealogical approach to the incoterms rules and revised incoterms 2010. J. Korea Trade 17, 1–19.</w:t>
      </w:r>
    </w:p>
    <w:p w14:paraId="01A69C4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Cichosz, M., Wallenburg, C.M., Knemeyer, A.M., 2020. Digital transformation at logistics service providers: barriers, success factors and leading practices. Int. J. Logist. Manag. 31, 209–238.</w:t>
      </w:r>
    </w:p>
    <w:p w14:paraId="6FC628A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Davis, J., Vogt, J., 2022. Incoterms® 2020 and the missed opportunities for the next version. Int. J. Logist. Res. Appl. 25, 1263–1286. https://doi.org/10.1080/13675567.2021.1897974</w:t>
      </w:r>
    </w:p>
    <w:p w14:paraId="20129F3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Davis, J., Vogt, J., 2021. Hidden supply chain risk and incoterms®: analysis and mitigation strategies. J. risk Financ. Manag. 14, 619.</w:t>
      </w:r>
    </w:p>
    <w:p w14:paraId="0572821C"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Day, G.S., Wensley, R., 1988. Assessing advantage: a framework for diagnosing competitive superiority. J. Mark. 52, 1–20.</w:t>
      </w:r>
    </w:p>
    <w:p w14:paraId="14F6151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del Rosal, I., 2013. Delivery terms in international trade: Some evidence for Spain. Appl. Econ. Lett. 20, 606–610. https://doi.org/10.1080/13504851.2012.725924</w:t>
      </w:r>
    </w:p>
    <w:p w14:paraId="3F93A73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 xml:space="preserve">Dong, C., Akram, A., Andersson, D., Arnäs, P.-O., Stefansson, G., 2021. The impact of </w:t>
      </w:r>
      <w:r w:rsidRPr="000004DB">
        <w:rPr>
          <w:rFonts w:ascii="Times New Roman" w:hAnsi="Times New Roman" w:cs="Times New Roman"/>
          <w:noProof/>
          <w:sz w:val="24"/>
          <w:szCs w:val="24"/>
        </w:rPr>
        <w:lastRenderedPageBreak/>
        <w:t>emerging and disruptive technologies on freight transportation in the digital era: current state and future trends. Int. J. Logist. Manag. 32, 386–412.</w:t>
      </w:r>
    </w:p>
    <w:p w14:paraId="1E82A1A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Edet, L., Ogbulogo, C., Chiluwa, I., 2021. Aspects of semantics in global business: The nigerian example in the knowledge era. IBIMA Bus. Rev. 2021. https://doi.org/10.5171/2021.866939</w:t>
      </w:r>
    </w:p>
    <w:p w14:paraId="147F5D4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Elibal, K., Özceylan, E., Çetinkaya, C., 2020. A Study of Maturity Model for Assessing the Logistics 4.0 Transformation Level of Industrial Enterprises: Literature Review and a Draft Model Proposal. Logist. 4.0 253–283.</w:t>
      </w:r>
    </w:p>
    <w:p w14:paraId="7529503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Ferreira, J., Coelho, A., Moutinho, L., 2020. Dynamic capabilities, creativity and innovation capability and their impact on competitive advantage and firm performance: The moderating role of entrepreneurial orientation. Technovation 92–93. https://doi.org/10.1016/j.technovation.2018.11.004</w:t>
      </w:r>
    </w:p>
    <w:p w14:paraId="4CF64FE0"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Frederico, G.F., 2021. From supply chain 4.0 to supply chain 5.0: Findings from a systematic literature review and research directions. Logistics 5, 49.</w:t>
      </w:r>
    </w:p>
    <w:p w14:paraId="206329C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Fruscione, A., 2022. The Court of Justice of the European Union Clarifies the Relationship Between Customs Value and Delivery Costs of Goods. Glob. Trade Cust. J. 17, 49–52.</w:t>
      </w:r>
    </w:p>
    <w:p w14:paraId="1745A1BD"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Gardner, B.D.L., 2012. How to Use International Trade Terms for Competitive Advantage &amp; Financial Gain.</w:t>
      </w:r>
    </w:p>
    <w:p w14:paraId="655A943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lang w:val="fi-FI"/>
        </w:rPr>
        <w:t xml:space="preserve">Gruchmann, T., Pratt, N., Eiten, J., Melkonyan, A., 2020. </w:t>
      </w:r>
      <w:r w:rsidRPr="000004DB">
        <w:rPr>
          <w:rFonts w:ascii="Times New Roman" w:hAnsi="Times New Roman" w:cs="Times New Roman"/>
          <w:noProof/>
          <w:sz w:val="24"/>
          <w:szCs w:val="24"/>
        </w:rPr>
        <w:t>4PL Digital Business Models in Sea Freight Logistics: The Case of FreightHub. Logistics 4. https://doi.org/10.3390/logistics4020010</w:t>
      </w:r>
    </w:p>
    <w:p w14:paraId="5EF509E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Hair, J.F., 2014. A primer on partial least squares structural equation modeling (PLS-SEM). sage.</w:t>
      </w:r>
    </w:p>
    <w:p w14:paraId="7989A96C"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Hair, J.F., Black, W.C., Babin, B.J., Anderson, R.E., 2013. Multivariate data analysis: Pearson new international edition PDF eBook. Pearson Higher Ed.</w:t>
      </w:r>
    </w:p>
    <w:p w14:paraId="3135918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Heilig, L., Schwarze, S., Voß, S., 2017. An analysis of digital transformation in the history and future of modern ports.</w:t>
      </w:r>
    </w:p>
    <w:p w14:paraId="6F1C4367"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lang w:val="fi-FI"/>
        </w:rPr>
        <w:t xml:space="preserve">Hien, N., Laporte, G., Roy, J., 2014. </w:t>
      </w:r>
      <w:r w:rsidRPr="000004DB">
        <w:rPr>
          <w:rFonts w:ascii="Times New Roman" w:hAnsi="Times New Roman" w:cs="Times New Roman"/>
          <w:noProof/>
          <w:sz w:val="24"/>
          <w:szCs w:val="24"/>
        </w:rPr>
        <w:t>Business Environment Factors, Incoterms Selection and Export Performance. Oper. Supply Chain Manag. An Int. J. 2, 63–78. https://doi.org/10.31387/oscm040017</w:t>
      </w:r>
    </w:p>
    <w:p w14:paraId="2A52A71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fi-FI"/>
        </w:rPr>
      </w:pPr>
      <w:r w:rsidRPr="000004DB">
        <w:rPr>
          <w:rFonts w:ascii="Times New Roman" w:hAnsi="Times New Roman" w:cs="Times New Roman"/>
          <w:noProof/>
          <w:sz w:val="24"/>
          <w:szCs w:val="24"/>
        </w:rPr>
        <w:t xml:space="preserve">Ishak, A.K., Ramli, A., Aziz, Z., Kamaruddeen, A.M., Ahmad Shakir, K., 2019. Firm culture and innovativeness among logistics companies in Malaysia. Int. J. Supply Chain Manag. </w:t>
      </w:r>
      <w:r w:rsidRPr="000004DB">
        <w:rPr>
          <w:rFonts w:ascii="Times New Roman" w:hAnsi="Times New Roman" w:cs="Times New Roman"/>
          <w:noProof/>
          <w:sz w:val="24"/>
          <w:szCs w:val="24"/>
          <w:lang w:val="fi-FI"/>
        </w:rPr>
        <w:t>8, 702–709.</w:t>
      </w:r>
    </w:p>
    <w:p w14:paraId="3FE06A0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lang w:val="fi-FI"/>
        </w:rPr>
        <w:t xml:space="preserve">Isti’anah, P.R., Praharsi, Y., Maharani, A., Wee, H.-M., 2021. </w:t>
      </w:r>
      <w:r w:rsidRPr="000004DB">
        <w:rPr>
          <w:rFonts w:ascii="Times New Roman" w:hAnsi="Times New Roman" w:cs="Times New Roman"/>
          <w:noProof/>
          <w:sz w:val="24"/>
          <w:szCs w:val="24"/>
        </w:rPr>
        <w:t>Supply chain resilience analysis using the quality function deployment (QFD) approach in a freight forwarding company. Reliab. Theory Appl. 16, 15–26. https://doi.org/10.24412/1932-2321-2021-264-15-26</w:t>
      </w:r>
    </w:p>
    <w:p w14:paraId="1F507E7D"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Jeon, S.-H., 2021. An analysis of delivery/transport documents content in relation to the contract of carriage under incoterms 2020 rules*. J. Korea Trade 25, 203–219. https://doi.org/10.35611/jkt.2021.25.1.203</w:t>
      </w:r>
    </w:p>
    <w:p w14:paraId="6E11431F"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Jing, H., Fan, Y., 2024. Digital transformation, supply chain integration and supply chain performance: Evidence from Chinese manufacturing listed firms. Sage Open 14, 21582440241281616.</w:t>
      </w:r>
    </w:p>
    <w:p w14:paraId="2748E19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 xml:space="preserve">Kern, J., Wolff, P., 2019. The digital transformation of the automotive supply chain–an </w:t>
      </w:r>
      <w:r w:rsidRPr="000004DB">
        <w:rPr>
          <w:rFonts w:ascii="Times New Roman" w:hAnsi="Times New Roman" w:cs="Times New Roman"/>
          <w:noProof/>
          <w:sz w:val="24"/>
          <w:szCs w:val="24"/>
        </w:rPr>
        <w:lastRenderedPageBreak/>
        <w:t>empirical analysis with evidence from Germany and China: Case study contribution to the OECD TIP Digital and Open Innovation project. TIP Digit. Open Innov. Proj.</w:t>
      </w:r>
    </w:p>
    <w:p w14:paraId="3202415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Kim, J.-H., Jeon, S.-H., Yang, J.-H., Davis, J., Vogt, J., Bergami, R., Tichá, L., Kim, S.M., Kubáňová, J., Otáhalová, Z., Senko, Š., Baena-Rojas, J.J., Cano, J.A., Tellarini, G., Petrová, M., Krügerová, M., Kozieł, M., 2022. The Comparative Study of Incoterms 2020 and 2010 in International Physical Distribution. J. Korea Trade 25, 1263–1286. https://doi.org/10.22306/al.v9i2.291</w:t>
      </w:r>
    </w:p>
    <w:p w14:paraId="1B912290"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Kim, S.M., 2022. Some Critical &amp; Controversial Issues on Incoterms 2020 for International Trade. Glob. Trade Cust. J. 17.</w:t>
      </w:r>
    </w:p>
    <w:p w14:paraId="29E7A922"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Kim, S.M., 2021. Right Choice of DPU in Incoterms 2020. Glob. Trade Cust. J. 16.</w:t>
      </w:r>
    </w:p>
    <w:p w14:paraId="37504762"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Kohlhase, S., Wielhouwer, J.L., 2022. Tax and tariff planning through transfer prices: The role of the head office and business unit. J. Account. Econ. https://doi.org/10.1016/j.jacceco.2022.101568</w:t>
      </w:r>
    </w:p>
    <w:p w14:paraId="1DCF3FC3"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Krajewska, M.A., Kopfer, H., 2006. Collaborating freight forwarding enterprises: Request allocation and profit sharing. OR Spectr. 28, 301–317. https://doi.org/10.1007/s00291-005-0031-2</w:t>
      </w:r>
    </w:p>
    <w:p w14:paraId="32CDE86B"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Kubáňová, J., Ptak, M., 2017. Using of the incoterms ® 2010 rules in the maritime transport, in: 21st International Scientific Conference Transport Means 2017. Kaunas University of Technology, University of Zilina, Univerzitna 8215/1, Zilina, 01026, Slovakia, pp. 520–525.</w:t>
      </w:r>
    </w:p>
    <w:p w14:paraId="205A1CC7"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Lemoine, W., Dagnæs, L., 2003. Globalisation strategies and business organisation of a network of logistics service providers. Int. J. Phys. Distrib. Logist. Manag. 33, 209–228. https://doi.org/10.1108/09600030310471961</w:t>
      </w:r>
    </w:p>
    <w:p w14:paraId="3C0EB1D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Leskovar-Spacapan, G., Bastic, M., 2007. Differences in organizations’ innovation capability in transition economy: Internal aspect of the organizations’ strategic orientation. Technovation 27, 533–546.</w:t>
      </w:r>
    </w:p>
    <w:p w14:paraId="1AC9841D"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Lu, C.-S., 2004. An evaluation of logistics services’ requirements of international distribution centers in Taiwan. Transp. J. 43, 53–66.</w:t>
      </w:r>
    </w:p>
    <w:p w14:paraId="3FDDFB7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Lu, C., 1999. Strategic groups in taiwanese liner shipping. Marit. Policy Manag. 26, 1–26. https://doi.org/10.1080/030888399287032</w:t>
      </w:r>
    </w:p>
    <w:p w14:paraId="4203ECA7"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McKinnon, A., 2014. The possible influence of the shipper on carbon emissions from deep-sea container supply chains: An empirical analysis. Marit. Econ. Logist. 16, 1–19. https://doi.org/10.1057/mel.2013.25</w:t>
      </w:r>
    </w:p>
    <w:p w14:paraId="2B9A8AE7"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Michel, V., Siegfried, P., 2020. Digital freight forwarders in food logistics. Logist. J. 2020, 1–15. https://doi.org/10.2195/lj_NotRev_michel_de_202102_01</w:t>
      </w:r>
    </w:p>
    <w:p w14:paraId="62CF774A"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Nugymanova, G., Nurgaliyeva, M., Zhanbirov, Z., Naumov, V., Taran, I., 2021. Choosing a servicing company’s strategy while interacting with freight owners at the road transport market. Nauk. Visnyk Natsionalnoho Hirnychoho Universytetu 204–210. https://doi.org/10.33271/nvngu/2021-1/204</w:t>
      </w:r>
    </w:p>
    <w:p w14:paraId="4C2034A3"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Porter, M., 1985. Competitive Advantage, New York Free Press. PorterCompetitive Advantage1985.</w:t>
      </w:r>
    </w:p>
    <w:p w14:paraId="0A903A7E"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Porter, M.E., 1990. The competitive advantage of nations The Free Press. New York 564.</w:t>
      </w:r>
    </w:p>
    <w:p w14:paraId="5A20AF1E"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Porter, M.E., 1980. Competitive strategy: Techniques for analyzing industries and competitors.</w:t>
      </w:r>
    </w:p>
    <w:p w14:paraId="32EAE65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lastRenderedPageBreak/>
        <w:t>Porter, M.E., Kramer, M.R., 1985. Competitive Advantage. Creat. Sustain. Super. Performance, Simons 56–68.</w:t>
      </w:r>
    </w:p>
    <w:p w14:paraId="78938CA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Raza, Z., Woxenius, J., Vural, C.A., Lind, M., 2023. Digital transformation of maritime logistics: Exploring trends in the liner shipping segment. Comput. Ind. 145, 103811.</w:t>
      </w:r>
    </w:p>
    <w:p w14:paraId="4F87652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Sanchez-Rodrigues, V., Potter, A., Naim, M.M., 2010. The impact of logistics uncertainty on sustainable transport operations. Int. J. Phys. Distrib. Logist. Manag. 40, 61–83. https://doi.org/10.1108/09600031011018046</w:t>
      </w:r>
    </w:p>
    <w:p w14:paraId="183FEFC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Shou, Y., Shao, J., Chen, A., 2017. Relational resources and performance of Chinese third-party logistics providers: The mediating role of innovation capability. Int. J. Phys. Distrib. Logist. Manag. 47, 864–883. https://doi.org/10.1108/IJPDLM-09-2016-0271</w:t>
      </w:r>
    </w:p>
    <w:p w14:paraId="67DE1C4D"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Sink, H.L., Langley Jr, C.J., Gibson, B.J., 1996. Buyer observations of the US third‐party logistics market. Int. J. Phys. Distrib. Logist. Manag. 26, 38–46.</w:t>
      </w:r>
    </w:p>
    <w:p w14:paraId="4EF0979B"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Spieske, A., Birkel, H., 2021. Improving supply chain resilience through industry 4.0: A systematic literature review under the impressions of the COVID-19 pandemic. Comput. Ind. Eng. 158, 107452.</w:t>
      </w:r>
    </w:p>
    <w:p w14:paraId="7EF4E2C8"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Stojanović, Đ., Ivetić, J., 2020. Possibilities of using Incoterms clauses in a country logistics performance assessment and benchmarking. Transp. Policy 98, 217–228. https://doi.org/10.1016/j.tranpol.2020.03.012</w:t>
      </w:r>
    </w:p>
    <w:p w14:paraId="13AD0BD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fi-FI"/>
        </w:rPr>
      </w:pPr>
      <w:r w:rsidRPr="000004DB">
        <w:rPr>
          <w:rFonts w:ascii="Times New Roman" w:hAnsi="Times New Roman" w:cs="Times New Roman"/>
          <w:noProof/>
          <w:sz w:val="24"/>
          <w:szCs w:val="24"/>
        </w:rPr>
        <w:t xml:space="preserve">Stojanović, Ð., Ivetić, J., Veličković, M., 2021. Assessment of international trade-related transport CO2 emissions—a logistics responsibility perspective. </w:t>
      </w:r>
      <w:r w:rsidRPr="000004DB">
        <w:rPr>
          <w:rFonts w:ascii="Times New Roman" w:hAnsi="Times New Roman" w:cs="Times New Roman"/>
          <w:noProof/>
          <w:sz w:val="24"/>
          <w:szCs w:val="24"/>
          <w:lang w:val="fi-FI"/>
        </w:rPr>
        <w:t>Sustain. 13, 1–15. https://doi.org/10.3390/su13031138</w:t>
      </w:r>
    </w:p>
    <w:p w14:paraId="70AB1FD3"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lang w:val="fi-FI"/>
        </w:rPr>
        <w:t xml:space="preserve">Stojanović, Đ.M., Ivetić, J., 2020. </w:t>
      </w:r>
      <w:r w:rsidRPr="000004DB">
        <w:rPr>
          <w:rFonts w:ascii="Times New Roman" w:hAnsi="Times New Roman" w:cs="Times New Roman"/>
          <w:noProof/>
          <w:sz w:val="24"/>
          <w:szCs w:val="24"/>
        </w:rPr>
        <w:t>Macrologistic performance and logistics commitments in sales contracts in international supply chains. Int. J. Logist. Manag. 31, 59–76. https://doi.org/10.1108/IJLM-12-2018-0323</w:t>
      </w:r>
    </w:p>
    <w:p w14:paraId="6FF0C5C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Stojanović, Ivetić, J., 2020. Possibilities of using Incoterms clauses in a country logistics performance assessment and benchmarking. Transp. Policy 98, 217–228. https://doi.org/10.1016/j.tranpol.2020.03.012</w:t>
      </w:r>
    </w:p>
    <w:p w14:paraId="02DF70BB"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Stonehouse, G., Snowdon, B., 2007. Competitive advantage revisited Michael Porter on strategy and competitiveness. J. Manag. Inq. 16, 256–273. https://doi.org/10.1177/1056492607306333</w:t>
      </w:r>
    </w:p>
    <w:p w14:paraId="50F473E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Sugiono, A., Rahayu, A., Wibowo, L.A., 2022. Environmental uncertainty factor, incoterm and implication for a strategic alliance in freight forwarder companies case study in Indonesia. Asian J. Logist. Manag. 1, 1–15.</w:t>
      </w:r>
    </w:p>
    <w:p w14:paraId="4D0F20B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Sugiono, A., Rahayu, A., Wibowo, L.A., Hurriyati, R., 2023. Analysis of Incoterms and Relational Resources to Improve Competitive Advantage: A Study of Freight Forwarders Company in Indonesia. Asian J. Logist. Manag. 2, 64–91.</w:t>
      </w:r>
    </w:p>
    <w:p w14:paraId="5866D503"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Surakarsa, J., Amchang, C., Sawatwong, N., 2020. Decision-Making on Incoterms 2020 of Automotive Parts Manufacturers in Thailand. J. Asian Financ. Econ. Bus. 7, 461–470. https://doi.org/10.13106/jafeb.2020.vol7.no10.461</w:t>
      </w:r>
    </w:p>
    <w:p w14:paraId="7C06A75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62781">
        <w:rPr>
          <w:rFonts w:ascii="Times New Roman" w:hAnsi="Times New Roman" w:cs="Times New Roman"/>
          <w:noProof/>
          <w:sz w:val="24"/>
          <w:szCs w:val="24"/>
          <w:lang w:val="pt-BR"/>
        </w:rPr>
        <w:t xml:space="preserve">Teece, D.J., Pisano, G., Shuen, A., 1997. </w:t>
      </w:r>
      <w:r w:rsidRPr="000004DB">
        <w:rPr>
          <w:rFonts w:ascii="Times New Roman" w:hAnsi="Times New Roman" w:cs="Times New Roman"/>
          <w:noProof/>
          <w:sz w:val="24"/>
          <w:szCs w:val="24"/>
        </w:rPr>
        <w:t>Dynamic capabilities and strategic management. Strateg. Manag. J. 18, 509–533.</w:t>
      </w:r>
    </w:p>
    <w:p w14:paraId="264E608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The International Chamber of Commerce, 2020. ICC Rules for the Use of Domestic and International Trade Terms, 723E ed. International Chamber and Commerce Indonesia.</w:t>
      </w:r>
    </w:p>
    <w:p w14:paraId="27D96C84"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lastRenderedPageBreak/>
        <w:t>Unal, T.D., Metin, I., 2021. Do the factors affecting incoterms® selection differ for exporters and importers? A fuzzy analytical hierarchy process (fahp) application. Logforum 17, 299–309. https://doi.org/10.17270/J.LOG.2021.585</w:t>
      </w:r>
    </w:p>
    <w:p w14:paraId="5B24BF25"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Wagner, O., 2022. The COVID-19 Pandemics’ Impact on Customs Valuation and Import Duties: An Israel Perspective, and a Wider Comparison. Glob. Trade Cust. J. 17, 113–120.</w:t>
      </w:r>
    </w:p>
    <w:p w14:paraId="2BC5DB50"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Wang, X., Kopfer, H., Gendreau, M., 2014. Operational transportation planning of freight forwarding companies in horizontal coalitions. Eur. J. Oper. Res. 237, 1133–1141. https://doi.org/10.1016/j.ejor.2014.02.056</w:t>
      </w:r>
    </w:p>
    <w:p w14:paraId="607B62FA"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Winkelhaus, S., Grosse, E.H., 2020. Logistics 4.0: a systematic review towards a new logistics system. Int. J. Prod. Res. 58, 18–43.</w:t>
      </w:r>
    </w:p>
    <w:p w14:paraId="789105A1"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Yang, J.-H., 2021. A study on the reasonable choice and utilization of incoterms 2020 rules from the perspective of logistics and supply chain management. J. Korea Trade 25, 152–168. https://doi.org/10.35611/jkt.2021.25.1.152</w:t>
      </w:r>
    </w:p>
    <w:p w14:paraId="6E91F882"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Zhang, J., Jehangir, F.N., Yang, L., Tahir, M.A., Tabasum, S., 2024. Competitive Advantage and Firm Performance: The Role of Organizational Culture, Organizational Innovation, and Knowledge Sharing. J. Knowl. Econ. https://doi.org/10.1007/s13132-024-01910-3</w:t>
      </w:r>
    </w:p>
    <w:p w14:paraId="70F7795A"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Zhang, L.-H., Liu, C., Zhang, C., Wang, S., 2023. Upstream encroachment and downstream outsourcing in competing shipping supply chains. Int. J. Prod. Econ. 255. https://doi.org/10.1016/j.ijpe.2022.108655</w:t>
      </w:r>
    </w:p>
    <w:p w14:paraId="60F761B6" w14:textId="77777777" w:rsidR="00B22419" w:rsidRPr="000004DB" w:rsidRDefault="00B22419" w:rsidP="00AE1636">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0004DB">
        <w:rPr>
          <w:rFonts w:ascii="Times New Roman" w:hAnsi="Times New Roman" w:cs="Times New Roman"/>
          <w:noProof/>
          <w:sz w:val="24"/>
          <w:szCs w:val="24"/>
        </w:rPr>
        <w:t>Zimmermann, R., Ferreira, L.M.D.F., Moreira, A.C., 2020. An empirical analysis of the relationship between supply chain strategies, product characteristics, environmental uncertainty and performance. Supply Chain Manag. An Int. J. 25, 375–391.</w:t>
      </w:r>
    </w:p>
    <w:p w14:paraId="0D6C723D" w14:textId="77777777" w:rsidR="00DB0B37" w:rsidRPr="000004DB" w:rsidRDefault="00B22419" w:rsidP="00AE1636">
      <w:pPr>
        <w:tabs>
          <w:tab w:val="left" w:pos="1134"/>
        </w:tabs>
        <w:spacing w:after="0" w:line="276" w:lineRule="auto"/>
        <w:jc w:val="both"/>
        <w:rPr>
          <w:rFonts w:ascii="Times New Roman" w:hAnsi="Times New Roman" w:cs="Times New Roman"/>
          <w:b/>
          <w:bCs/>
          <w:sz w:val="24"/>
          <w:szCs w:val="24"/>
        </w:rPr>
      </w:pPr>
      <w:r w:rsidRPr="000004DB">
        <w:rPr>
          <w:rFonts w:ascii="Times New Roman" w:hAnsi="Times New Roman" w:cs="Times New Roman"/>
          <w:b/>
          <w:bCs/>
          <w:sz w:val="24"/>
          <w:szCs w:val="24"/>
        </w:rPr>
        <w:fldChar w:fldCharType="end"/>
      </w:r>
    </w:p>
    <w:sectPr w:rsidR="00DB0B37" w:rsidRPr="000004DB" w:rsidSect="00D62758">
      <w:headerReference w:type="default" r:id="rId11"/>
      <w:footerReference w:type="default" r:id="rId12"/>
      <w:headerReference w:type="first" r:id="rId13"/>
      <w:footerReference w:type="first" r:id="rId14"/>
      <w:pgSz w:w="11906" w:h="16838" w:code="9"/>
      <w:pgMar w:top="1440" w:right="1440" w:bottom="1440" w:left="1440" w:header="0" w:footer="743" w:gutter="0"/>
      <w:pgNumType w:start="91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D552" w14:textId="77777777" w:rsidR="00A52927" w:rsidRDefault="00A52927" w:rsidP="00CE5852">
      <w:pPr>
        <w:spacing w:after="0" w:line="240" w:lineRule="auto"/>
      </w:pPr>
      <w:r>
        <w:separator/>
      </w:r>
    </w:p>
  </w:endnote>
  <w:endnote w:type="continuationSeparator" w:id="0">
    <w:p w14:paraId="72DE469A" w14:textId="77777777" w:rsidR="00A52927" w:rsidRDefault="00A52927" w:rsidP="00CE5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32BAA" w14:textId="5D353ECE" w:rsidR="00222846" w:rsidRDefault="00222846" w:rsidP="00222846">
    <w:pPr>
      <w:pStyle w:val="Footer"/>
      <w:tabs>
        <w:tab w:val="clear" w:pos="4680"/>
        <w:tab w:val="clear" w:pos="9360"/>
        <w:tab w:val="left" w:pos="2325"/>
      </w:tabs>
    </w:pP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124878"/>
      <w:docPartObj>
        <w:docPartGallery w:val="Page Numbers (Bottom of Page)"/>
        <w:docPartUnique/>
      </w:docPartObj>
    </w:sdtPr>
    <w:sdtEndPr>
      <w:rPr>
        <w:noProof/>
      </w:rPr>
    </w:sdtEndPr>
    <w:sdtContent>
      <w:p w14:paraId="168A9257" w14:textId="148B98FF" w:rsidR="00D62758" w:rsidRDefault="00D627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B12ADE" w14:textId="132BE8B1" w:rsidR="00222846" w:rsidRDefault="00222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A699" w14:textId="77777777" w:rsidR="00A52927" w:rsidRDefault="00A52927" w:rsidP="00CE5852">
      <w:pPr>
        <w:spacing w:after="0" w:line="240" w:lineRule="auto"/>
      </w:pPr>
      <w:r>
        <w:separator/>
      </w:r>
    </w:p>
  </w:footnote>
  <w:footnote w:type="continuationSeparator" w:id="0">
    <w:p w14:paraId="7C7D61D5" w14:textId="77777777" w:rsidR="00A52927" w:rsidRDefault="00A52927" w:rsidP="00CE5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88C2" w14:textId="77777777" w:rsidR="00CE5852" w:rsidRDefault="00CE5852">
    <w:pPr>
      <w:pStyle w:val="Header"/>
    </w:pPr>
  </w:p>
  <w:p w14:paraId="4A072572" w14:textId="77777777" w:rsidR="00222846" w:rsidRDefault="00222846">
    <w:pPr>
      <w:pStyle w:val="Header"/>
    </w:pPr>
  </w:p>
  <w:p w14:paraId="7C65170D" w14:textId="2AEE63DF" w:rsidR="00222846" w:rsidRPr="00222846" w:rsidRDefault="00222846" w:rsidP="00222846">
    <w:pPr>
      <w:pStyle w:val="Header"/>
      <w:rPr>
        <w:rFonts w:ascii="Calibri" w:hAnsi="Calibri" w:cs="Calibri"/>
        <w:b/>
      </w:rPr>
    </w:pPr>
    <w:r w:rsidRPr="00222846">
      <w:rPr>
        <w:rFonts w:ascii="Calibri" w:hAnsi="Calibri" w:cs="Calibri"/>
        <w:b/>
      </w:rPr>
      <w:t xml:space="preserve">Ahmad Sugiono*, Agus Rahayu, Lili Adi Wibowo, Ratih </w:t>
    </w:r>
    <w:proofErr w:type="spellStart"/>
    <w:r w:rsidRPr="00222846">
      <w:rPr>
        <w:rFonts w:ascii="Calibri" w:hAnsi="Calibri" w:cs="Calibri"/>
        <w:b/>
      </w:rPr>
      <w:t>Hurriyati</w:t>
    </w:r>
    <w:proofErr w:type="spellEnd"/>
  </w:p>
  <w:p w14:paraId="2530B5E7" w14:textId="77777777" w:rsidR="00222846" w:rsidRPr="00222846" w:rsidRDefault="00222846" w:rsidP="00222846">
    <w:pPr>
      <w:spacing w:after="0"/>
      <w:contextualSpacing/>
      <w:jc w:val="both"/>
      <w:rPr>
        <w:rFonts w:eastAsia="Times New Roman" w:cstheme="minorHAnsi"/>
        <w:kern w:val="32"/>
        <w:lang w:val="en-US"/>
      </w:rPr>
    </w:pPr>
    <w:r w:rsidRPr="00222846">
      <w:rPr>
        <w:rFonts w:eastAsia="Times New Roman" w:cstheme="minorHAnsi"/>
        <w:kern w:val="32"/>
        <w:lang w:val="en-US"/>
      </w:rPr>
      <w:t xml:space="preserve">The Role of Digital Transformation and Incoterm Selection in Enhancing Competitive Advantage: Evidence from Indonesian Freight Forwarders </w:t>
    </w:r>
  </w:p>
  <w:p w14:paraId="698ACD47" w14:textId="6623DC3C" w:rsidR="00CE5852" w:rsidRPr="00222846" w:rsidRDefault="00222846" w:rsidP="00222846">
    <w:pPr>
      <w:spacing w:after="0"/>
      <w:contextualSpacing/>
      <w:jc w:val="both"/>
      <w:rPr>
        <w:rFonts w:ascii="Bookman Old Style" w:eastAsia="Times New Roman" w:hAnsi="Bookman Old Style" w:cstheme="majorHAnsi"/>
        <w:bCs/>
        <w:kern w:val="32"/>
        <w:sz w:val="20"/>
        <w:szCs w:val="20"/>
        <w:lang w:val="id-ID"/>
      </w:rPr>
    </w:pPr>
    <w:r>
      <w:rPr>
        <w:noProof/>
      </w:rPr>
      <mc:AlternateContent>
        <mc:Choice Requires="wps">
          <w:drawing>
            <wp:anchor distT="4294967295" distB="4294967295" distL="114300" distR="114300" simplePos="0" relativeHeight="251662336" behindDoc="0" locked="0" layoutInCell="1" allowOverlap="1" wp14:anchorId="56A5927C" wp14:editId="28F17EE2">
              <wp:simplePos x="0" y="0"/>
              <wp:positionH relativeFrom="column">
                <wp:posOffset>0</wp:posOffset>
              </wp:positionH>
              <wp:positionV relativeFrom="paragraph">
                <wp:posOffset>40004</wp:posOffset>
              </wp:positionV>
              <wp:extent cx="572452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7F9C0B7" id="_x0000_t32" coordsize="21600,21600" o:spt="32" o:oned="t" path="m,l21600,21600e" filled="f">
              <v:path arrowok="t" fillok="f" o:connecttype="none"/>
              <o:lock v:ext="edit" shapetype="t"/>
            </v:shapetype>
            <v:shape id="Straight Arrow Connector 7" o:spid="_x0000_s1026" type="#_x0000_t32" style="position:absolute;margin-left:0;margin-top:3.15pt;width:45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76FB" w14:textId="77777777" w:rsidR="00CE5852" w:rsidRDefault="00CE5852">
    <w:pPr>
      <w:pStyle w:val="Header"/>
    </w:pPr>
  </w:p>
  <w:p w14:paraId="3EBC9AE8" w14:textId="77777777" w:rsidR="00CE5852" w:rsidRDefault="00CE5852">
    <w:pPr>
      <w:pStyle w:val="Header"/>
    </w:pPr>
  </w:p>
  <w:p w14:paraId="50FDAC10" w14:textId="77777777" w:rsidR="00CE5852" w:rsidRPr="00872D92" w:rsidRDefault="00CE5852" w:rsidP="00CE5852">
    <w:pPr>
      <w:pStyle w:val="Header"/>
      <w:ind w:right="12"/>
      <w:rPr>
        <w:rFonts w:ascii="Bookman Old Style" w:hAnsi="Bookman Old Style"/>
        <w:b/>
        <w:color w:val="0070C0"/>
        <w:sz w:val="28"/>
        <w:szCs w:val="28"/>
      </w:rPr>
    </w:pPr>
    <w:r w:rsidRPr="00CE730E">
      <w:rPr>
        <w:noProof/>
        <w:color w:val="00B050"/>
      </w:rPr>
      <w:drawing>
        <wp:anchor distT="0" distB="0" distL="114300" distR="114300" simplePos="0" relativeHeight="251660288" behindDoc="0" locked="0" layoutInCell="1" allowOverlap="1" wp14:anchorId="61F928F1" wp14:editId="2EA4981E">
          <wp:simplePos x="0" y="0"/>
          <wp:positionH relativeFrom="column">
            <wp:posOffset>3959225</wp:posOffset>
          </wp:positionH>
          <wp:positionV relativeFrom="paragraph">
            <wp:posOffset>-78740</wp:posOffset>
          </wp:positionV>
          <wp:extent cx="1994535" cy="756920"/>
          <wp:effectExtent l="0" t="0" r="5715" b="5080"/>
          <wp:wrapSquare wrapText="bothSides"/>
          <wp:docPr id="907593468" name="Picture 90759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30E">
      <w:rPr>
        <w:rFonts w:ascii="Bookman Old Style" w:hAnsi="Bookman Old Style"/>
        <w:b/>
        <w:color w:val="00B050"/>
        <w:sz w:val="28"/>
        <w:szCs w:val="28"/>
      </w:rPr>
      <w:t>J</w:t>
    </w:r>
    <w:r>
      <w:rPr>
        <w:rFonts w:ascii="Bookman Old Style" w:hAnsi="Bookman Old Style"/>
        <w:b/>
        <w:color w:val="00B050"/>
        <w:sz w:val="28"/>
        <w:szCs w:val="28"/>
      </w:rPr>
      <w:t>URNAL</w:t>
    </w:r>
    <w:r w:rsidRPr="00CE730E">
      <w:rPr>
        <w:rFonts w:ascii="Bookman Old Style" w:hAnsi="Bookman Old Style"/>
        <w:b/>
        <w:color w:val="00B050"/>
        <w:sz w:val="28"/>
        <w:szCs w:val="28"/>
      </w:rPr>
      <w:t xml:space="preserve"> LOCUS</w:t>
    </w:r>
    <w:r>
      <w:rPr>
        <w:rFonts w:ascii="Bookman Old Style" w:hAnsi="Bookman Old Style"/>
        <w:b/>
        <w:color w:val="00B050"/>
        <w:sz w:val="28"/>
        <w:szCs w:val="28"/>
      </w:rPr>
      <w:t>:</w:t>
    </w:r>
    <w:r w:rsidRPr="00CE730E">
      <w:rPr>
        <w:rFonts w:ascii="Bookman Old Style" w:hAnsi="Bookman Old Style"/>
        <w:b/>
        <w:color w:val="00B050"/>
        <w:sz w:val="28"/>
        <w:szCs w:val="28"/>
      </w:rPr>
      <w:t xml:space="preserve"> </w:t>
    </w:r>
    <w:proofErr w:type="spellStart"/>
    <w:r w:rsidRPr="00CE730E">
      <w:rPr>
        <w:rFonts w:ascii="Bookman Old Style" w:hAnsi="Bookman Old Style"/>
        <w:b/>
        <w:color w:val="00B050"/>
        <w:sz w:val="28"/>
        <w:szCs w:val="28"/>
      </w:rPr>
      <w:t>Penelitian</w:t>
    </w:r>
    <w:proofErr w:type="spellEnd"/>
    <w:r w:rsidRPr="00CE730E">
      <w:rPr>
        <w:rFonts w:ascii="Bookman Old Style" w:hAnsi="Bookman Old Style"/>
        <w:b/>
        <w:color w:val="00B050"/>
        <w:sz w:val="28"/>
        <w:szCs w:val="28"/>
      </w:rPr>
      <w:t xml:space="preserve"> &amp; </w:t>
    </w:r>
    <w:proofErr w:type="spellStart"/>
    <w:r w:rsidRPr="00CE730E">
      <w:rPr>
        <w:rFonts w:ascii="Bookman Old Style" w:hAnsi="Bookman Old Style"/>
        <w:b/>
        <w:color w:val="00B050"/>
        <w:sz w:val="28"/>
        <w:szCs w:val="28"/>
      </w:rPr>
      <w:t>Pengabdian</w:t>
    </w:r>
    <w:proofErr w:type="spellEnd"/>
    <w:r w:rsidRPr="00872D92">
      <w:rPr>
        <w:rFonts w:ascii="Bookman Old Style" w:hAnsi="Bookman Old Style"/>
        <w:b/>
        <w:color w:val="0070C0"/>
        <w:sz w:val="28"/>
        <w:szCs w:val="28"/>
      </w:rPr>
      <w:t xml:space="preserve"> </w:t>
    </w:r>
  </w:p>
  <w:p w14:paraId="2EBEBCDA" w14:textId="5C4B1EE4" w:rsidR="00CE5852" w:rsidRPr="0029043E" w:rsidRDefault="00CE5852" w:rsidP="00CE5852">
    <w:pPr>
      <w:pStyle w:val="Header"/>
      <w:ind w:right="12"/>
      <w:rPr>
        <w:b/>
        <w:color w:val="000000"/>
      </w:rPr>
    </w:pPr>
    <w:r>
      <w:rPr>
        <w:b/>
        <w:color w:val="000000"/>
      </w:rPr>
      <w:t xml:space="preserve">Volume </w:t>
    </w:r>
    <w:r w:rsidR="00CA3542">
      <w:rPr>
        <w:b/>
        <w:color w:val="000000"/>
      </w:rPr>
      <w:t>4</w:t>
    </w:r>
    <w:r w:rsidRPr="0029043E">
      <w:rPr>
        <w:b/>
        <w:color w:val="000000"/>
      </w:rPr>
      <w:t xml:space="preserve"> No. </w:t>
    </w:r>
    <w:r w:rsidR="00CA3542">
      <w:rPr>
        <w:b/>
        <w:color w:val="000000"/>
      </w:rPr>
      <w:t>9</w:t>
    </w:r>
    <w:r w:rsidRPr="0029043E">
      <w:rPr>
        <w:b/>
        <w:color w:val="000000"/>
      </w:rPr>
      <w:t xml:space="preserve"> </w:t>
    </w:r>
    <w:r w:rsidR="00222846">
      <w:rPr>
        <w:b/>
        <w:color w:val="000000"/>
      </w:rPr>
      <w:t>September</w:t>
    </w:r>
    <w:r>
      <w:rPr>
        <w:b/>
        <w:color w:val="000000"/>
      </w:rPr>
      <w:t xml:space="preserve"> </w:t>
    </w:r>
    <w:r w:rsidRPr="0029043E">
      <w:rPr>
        <w:b/>
        <w:color w:val="000000"/>
      </w:rPr>
      <w:t>202</w:t>
    </w:r>
    <w:r w:rsidR="00222846">
      <w:rPr>
        <w:b/>
        <w:color w:val="000000"/>
      </w:rPr>
      <w:t>5</w:t>
    </w:r>
  </w:p>
  <w:p w14:paraId="665FC545" w14:textId="77777777" w:rsidR="00CE5852" w:rsidRPr="00131611" w:rsidRDefault="00CE5852" w:rsidP="00CE5852">
    <w:pPr>
      <w:pStyle w:val="Header"/>
      <w:ind w:right="12"/>
      <w:rPr>
        <w:sz w:val="20"/>
        <w:szCs w:val="20"/>
      </w:rPr>
    </w:pPr>
    <w:r w:rsidRPr="00131611">
      <w:rPr>
        <w:color w:val="000000"/>
        <w:sz w:val="20"/>
        <w:szCs w:val="20"/>
      </w:rPr>
      <w:t xml:space="preserve">E-ISSN </w:t>
    </w:r>
    <w:r w:rsidRPr="00FE08D4">
      <w:rPr>
        <w:color w:val="000000"/>
        <w:sz w:val="20"/>
        <w:szCs w:val="20"/>
      </w:rPr>
      <w:t>2829-7334</w:t>
    </w:r>
    <w:r w:rsidRPr="00131611">
      <w:rPr>
        <w:color w:val="000000"/>
        <w:sz w:val="20"/>
        <w:szCs w:val="20"/>
      </w:rPr>
      <w:t xml:space="preserve">| P-ISSN </w:t>
    </w:r>
    <w:r w:rsidRPr="00FE08D4">
      <w:rPr>
        <w:color w:val="000000"/>
        <w:sz w:val="20"/>
        <w:szCs w:val="20"/>
      </w:rPr>
      <w:t>2829-5439</w:t>
    </w:r>
  </w:p>
  <w:p w14:paraId="031FCC40" w14:textId="77777777" w:rsidR="00CE5852" w:rsidRPr="00131611" w:rsidRDefault="00CE5852" w:rsidP="00CE5852">
    <w:pPr>
      <w:pStyle w:val="Header"/>
      <w:rPr>
        <w:rFonts w:ascii="Georgia" w:hAnsi="Georgia"/>
        <w:b/>
        <w:color w:val="2E74B5" w:themeColor="accent5" w:themeShade="BF"/>
        <w:sz w:val="20"/>
        <w:szCs w:val="20"/>
      </w:rPr>
    </w:pPr>
    <w:proofErr w:type="spellStart"/>
    <w:r w:rsidRPr="00131611">
      <w:rPr>
        <w:sz w:val="20"/>
        <w:szCs w:val="20"/>
      </w:rPr>
      <w:t>Hompage</w:t>
    </w:r>
    <w:proofErr w:type="spellEnd"/>
    <w:r w:rsidRPr="00131611">
      <w:rPr>
        <w:sz w:val="20"/>
        <w:szCs w:val="20"/>
      </w:rPr>
      <w:t xml:space="preserve">: </w:t>
    </w:r>
    <w:r w:rsidRPr="005426DC">
      <w:rPr>
        <w:sz w:val="20"/>
        <w:szCs w:val="20"/>
      </w:rPr>
      <w:t>https://locus.rivierapublishing.id/index.php/jl</w:t>
    </w:r>
  </w:p>
  <w:p w14:paraId="6F880A3D" w14:textId="1F148E7F" w:rsidR="00CE5852" w:rsidRPr="00CE5852" w:rsidRDefault="00CE5852" w:rsidP="00CE5852">
    <w:pPr>
      <w:pStyle w:val="Header"/>
      <w:jc w:val="center"/>
      <w:rPr>
        <w:sz w:val="28"/>
      </w:rPr>
    </w:pPr>
    <w:r>
      <w:rPr>
        <w:noProof/>
      </w:rPr>
      <mc:AlternateContent>
        <mc:Choice Requires="wps">
          <w:drawing>
            <wp:anchor distT="4294967295" distB="4294967295" distL="114300" distR="114300" simplePos="0" relativeHeight="251659264" behindDoc="1" locked="0" layoutInCell="1" allowOverlap="1" wp14:anchorId="7B6C8652" wp14:editId="0D69E650">
              <wp:simplePos x="0" y="0"/>
              <wp:positionH relativeFrom="column">
                <wp:posOffset>19050</wp:posOffset>
              </wp:positionH>
              <wp:positionV relativeFrom="paragraph">
                <wp:posOffset>91439</wp:posOffset>
              </wp:positionV>
              <wp:extent cx="5934710" cy="0"/>
              <wp:effectExtent l="0" t="19050" r="889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305253B" id="_x0000_t32" coordsize="21600,21600" o:spt="32" o:oned="t" path="m,l21600,21600e" filled="f">
              <v:path arrowok="t" fillok="f" o:connecttype="none"/>
              <o:lock v:ext="edit" shapetype="t"/>
            </v:shapetype>
            <v:shape id="Straight Arrow Connector 5" o:spid="_x0000_s1026" type="#_x0000_t32" style="position:absolute;margin-left:1.5pt;margin-top:7.2pt;width:467.3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&#1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249"/>
    <w:multiLevelType w:val="multilevel"/>
    <w:tmpl w:val="97400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7527A2"/>
    <w:multiLevelType w:val="multilevel"/>
    <w:tmpl w:val="98F8E9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913087"/>
    <w:multiLevelType w:val="hybridMultilevel"/>
    <w:tmpl w:val="E7BCB2C8"/>
    <w:lvl w:ilvl="0" w:tplc="11D6B51E">
      <w:start w:val="1"/>
      <w:numFmt w:val="decimal"/>
      <w:lvlText w:val="%1."/>
      <w:lvlJc w:val="left"/>
      <w:pPr>
        <w:tabs>
          <w:tab w:val="num" w:pos="720"/>
        </w:tabs>
        <w:ind w:left="720" w:hanging="360"/>
      </w:pPr>
    </w:lvl>
    <w:lvl w:ilvl="1" w:tplc="D95AFA0C" w:tentative="1">
      <w:start w:val="1"/>
      <w:numFmt w:val="decimal"/>
      <w:lvlText w:val="%2."/>
      <w:lvlJc w:val="left"/>
      <w:pPr>
        <w:tabs>
          <w:tab w:val="num" w:pos="1440"/>
        </w:tabs>
        <w:ind w:left="1440" w:hanging="360"/>
      </w:pPr>
    </w:lvl>
    <w:lvl w:ilvl="2" w:tplc="4C28FDEA" w:tentative="1">
      <w:start w:val="1"/>
      <w:numFmt w:val="decimal"/>
      <w:lvlText w:val="%3."/>
      <w:lvlJc w:val="left"/>
      <w:pPr>
        <w:tabs>
          <w:tab w:val="num" w:pos="2160"/>
        </w:tabs>
        <w:ind w:left="2160" w:hanging="360"/>
      </w:pPr>
    </w:lvl>
    <w:lvl w:ilvl="3" w:tplc="860CEEA6" w:tentative="1">
      <w:start w:val="1"/>
      <w:numFmt w:val="decimal"/>
      <w:lvlText w:val="%4."/>
      <w:lvlJc w:val="left"/>
      <w:pPr>
        <w:tabs>
          <w:tab w:val="num" w:pos="2880"/>
        </w:tabs>
        <w:ind w:left="2880" w:hanging="360"/>
      </w:pPr>
    </w:lvl>
    <w:lvl w:ilvl="4" w:tplc="1D7801CC" w:tentative="1">
      <w:start w:val="1"/>
      <w:numFmt w:val="decimal"/>
      <w:lvlText w:val="%5."/>
      <w:lvlJc w:val="left"/>
      <w:pPr>
        <w:tabs>
          <w:tab w:val="num" w:pos="3600"/>
        </w:tabs>
        <w:ind w:left="3600" w:hanging="360"/>
      </w:pPr>
    </w:lvl>
    <w:lvl w:ilvl="5" w:tplc="6706C868" w:tentative="1">
      <w:start w:val="1"/>
      <w:numFmt w:val="decimal"/>
      <w:lvlText w:val="%6."/>
      <w:lvlJc w:val="left"/>
      <w:pPr>
        <w:tabs>
          <w:tab w:val="num" w:pos="4320"/>
        </w:tabs>
        <w:ind w:left="4320" w:hanging="360"/>
      </w:pPr>
    </w:lvl>
    <w:lvl w:ilvl="6" w:tplc="BFB2838C" w:tentative="1">
      <w:start w:val="1"/>
      <w:numFmt w:val="decimal"/>
      <w:lvlText w:val="%7."/>
      <w:lvlJc w:val="left"/>
      <w:pPr>
        <w:tabs>
          <w:tab w:val="num" w:pos="5040"/>
        </w:tabs>
        <w:ind w:left="5040" w:hanging="360"/>
      </w:pPr>
    </w:lvl>
    <w:lvl w:ilvl="7" w:tplc="09507F96" w:tentative="1">
      <w:start w:val="1"/>
      <w:numFmt w:val="decimal"/>
      <w:lvlText w:val="%8."/>
      <w:lvlJc w:val="left"/>
      <w:pPr>
        <w:tabs>
          <w:tab w:val="num" w:pos="5760"/>
        </w:tabs>
        <w:ind w:left="5760" w:hanging="360"/>
      </w:pPr>
    </w:lvl>
    <w:lvl w:ilvl="8" w:tplc="0CC07EB4" w:tentative="1">
      <w:start w:val="1"/>
      <w:numFmt w:val="decimal"/>
      <w:lvlText w:val="%9."/>
      <w:lvlJc w:val="left"/>
      <w:pPr>
        <w:tabs>
          <w:tab w:val="num" w:pos="6480"/>
        </w:tabs>
        <w:ind w:left="6480" w:hanging="360"/>
      </w:pPr>
    </w:lvl>
  </w:abstractNum>
  <w:abstractNum w:abstractNumId="3" w15:restartNumberingAfterBreak="0">
    <w:nsid w:val="1CE23DA8"/>
    <w:multiLevelType w:val="multilevel"/>
    <w:tmpl w:val="32F4173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382C3B"/>
    <w:multiLevelType w:val="hybridMultilevel"/>
    <w:tmpl w:val="42D42242"/>
    <w:lvl w:ilvl="0" w:tplc="A96C32D0">
      <w:start w:val="1"/>
      <w:numFmt w:val="decimal"/>
      <w:lvlText w:val="%1."/>
      <w:lvlJc w:val="left"/>
      <w:pPr>
        <w:tabs>
          <w:tab w:val="num" w:pos="720"/>
        </w:tabs>
        <w:ind w:left="720" w:hanging="360"/>
      </w:pPr>
    </w:lvl>
    <w:lvl w:ilvl="1" w:tplc="B53430B0" w:tentative="1">
      <w:start w:val="1"/>
      <w:numFmt w:val="decimal"/>
      <w:lvlText w:val="%2."/>
      <w:lvlJc w:val="left"/>
      <w:pPr>
        <w:tabs>
          <w:tab w:val="num" w:pos="1440"/>
        </w:tabs>
        <w:ind w:left="1440" w:hanging="360"/>
      </w:pPr>
    </w:lvl>
    <w:lvl w:ilvl="2" w:tplc="5CC463D2" w:tentative="1">
      <w:start w:val="1"/>
      <w:numFmt w:val="decimal"/>
      <w:lvlText w:val="%3."/>
      <w:lvlJc w:val="left"/>
      <w:pPr>
        <w:tabs>
          <w:tab w:val="num" w:pos="2160"/>
        </w:tabs>
        <w:ind w:left="2160" w:hanging="360"/>
      </w:pPr>
    </w:lvl>
    <w:lvl w:ilvl="3" w:tplc="F1EC747A" w:tentative="1">
      <w:start w:val="1"/>
      <w:numFmt w:val="decimal"/>
      <w:lvlText w:val="%4."/>
      <w:lvlJc w:val="left"/>
      <w:pPr>
        <w:tabs>
          <w:tab w:val="num" w:pos="2880"/>
        </w:tabs>
        <w:ind w:left="2880" w:hanging="360"/>
      </w:pPr>
    </w:lvl>
    <w:lvl w:ilvl="4" w:tplc="C9401DD2" w:tentative="1">
      <w:start w:val="1"/>
      <w:numFmt w:val="decimal"/>
      <w:lvlText w:val="%5."/>
      <w:lvlJc w:val="left"/>
      <w:pPr>
        <w:tabs>
          <w:tab w:val="num" w:pos="3600"/>
        </w:tabs>
        <w:ind w:left="3600" w:hanging="360"/>
      </w:pPr>
    </w:lvl>
    <w:lvl w:ilvl="5" w:tplc="81AE5C28" w:tentative="1">
      <w:start w:val="1"/>
      <w:numFmt w:val="decimal"/>
      <w:lvlText w:val="%6."/>
      <w:lvlJc w:val="left"/>
      <w:pPr>
        <w:tabs>
          <w:tab w:val="num" w:pos="4320"/>
        </w:tabs>
        <w:ind w:left="4320" w:hanging="360"/>
      </w:pPr>
    </w:lvl>
    <w:lvl w:ilvl="6" w:tplc="E69A2CC0" w:tentative="1">
      <w:start w:val="1"/>
      <w:numFmt w:val="decimal"/>
      <w:lvlText w:val="%7."/>
      <w:lvlJc w:val="left"/>
      <w:pPr>
        <w:tabs>
          <w:tab w:val="num" w:pos="5040"/>
        </w:tabs>
        <w:ind w:left="5040" w:hanging="360"/>
      </w:pPr>
    </w:lvl>
    <w:lvl w:ilvl="7" w:tplc="19DC8E52" w:tentative="1">
      <w:start w:val="1"/>
      <w:numFmt w:val="decimal"/>
      <w:lvlText w:val="%8."/>
      <w:lvlJc w:val="left"/>
      <w:pPr>
        <w:tabs>
          <w:tab w:val="num" w:pos="5760"/>
        </w:tabs>
        <w:ind w:left="5760" w:hanging="360"/>
      </w:pPr>
    </w:lvl>
    <w:lvl w:ilvl="8" w:tplc="6EFC1CF8" w:tentative="1">
      <w:start w:val="1"/>
      <w:numFmt w:val="decimal"/>
      <w:lvlText w:val="%9."/>
      <w:lvlJc w:val="left"/>
      <w:pPr>
        <w:tabs>
          <w:tab w:val="num" w:pos="6480"/>
        </w:tabs>
        <w:ind w:left="6480" w:hanging="360"/>
      </w:pPr>
    </w:lvl>
  </w:abstractNum>
  <w:abstractNum w:abstractNumId="5" w15:restartNumberingAfterBreak="0">
    <w:nsid w:val="343A4F47"/>
    <w:multiLevelType w:val="hybridMultilevel"/>
    <w:tmpl w:val="3E1ACAFE"/>
    <w:lvl w:ilvl="0" w:tplc="EA7ACAE2">
      <w:start w:val="1"/>
      <w:numFmt w:val="bullet"/>
      <w:lvlText w:val="•"/>
      <w:lvlJc w:val="left"/>
      <w:pPr>
        <w:tabs>
          <w:tab w:val="num" w:pos="720"/>
        </w:tabs>
        <w:ind w:left="720" w:hanging="360"/>
      </w:pPr>
      <w:rPr>
        <w:rFonts w:ascii="Arial" w:hAnsi="Arial" w:hint="default"/>
      </w:rPr>
    </w:lvl>
    <w:lvl w:ilvl="1" w:tplc="CFAED3AE" w:tentative="1">
      <w:start w:val="1"/>
      <w:numFmt w:val="bullet"/>
      <w:lvlText w:val="•"/>
      <w:lvlJc w:val="left"/>
      <w:pPr>
        <w:tabs>
          <w:tab w:val="num" w:pos="1440"/>
        </w:tabs>
        <w:ind w:left="1440" w:hanging="360"/>
      </w:pPr>
      <w:rPr>
        <w:rFonts w:ascii="Arial" w:hAnsi="Arial" w:hint="default"/>
      </w:rPr>
    </w:lvl>
    <w:lvl w:ilvl="2" w:tplc="55D07472" w:tentative="1">
      <w:start w:val="1"/>
      <w:numFmt w:val="bullet"/>
      <w:lvlText w:val="•"/>
      <w:lvlJc w:val="left"/>
      <w:pPr>
        <w:tabs>
          <w:tab w:val="num" w:pos="2160"/>
        </w:tabs>
        <w:ind w:left="2160" w:hanging="360"/>
      </w:pPr>
      <w:rPr>
        <w:rFonts w:ascii="Arial" w:hAnsi="Arial" w:hint="default"/>
      </w:rPr>
    </w:lvl>
    <w:lvl w:ilvl="3" w:tplc="9E721C26" w:tentative="1">
      <w:start w:val="1"/>
      <w:numFmt w:val="bullet"/>
      <w:lvlText w:val="•"/>
      <w:lvlJc w:val="left"/>
      <w:pPr>
        <w:tabs>
          <w:tab w:val="num" w:pos="2880"/>
        </w:tabs>
        <w:ind w:left="2880" w:hanging="360"/>
      </w:pPr>
      <w:rPr>
        <w:rFonts w:ascii="Arial" w:hAnsi="Arial" w:hint="default"/>
      </w:rPr>
    </w:lvl>
    <w:lvl w:ilvl="4" w:tplc="20329592" w:tentative="1">
      <w:start w:val="1"/>
      <w:numFmt w:val="bullet"/>
      <w:lvlText w:val="•"/>
      <w:lvlJc w:val="left"/>
      <w:pPr>
        <w:tabs>
          <w:tab w:val="num" w:pos="3600"/>
        </w:tabs>
        <w:ind w:left="3600" w:hanging="360"/>
      </w:pPr>
      <w:rPr>
        <w:rFonts w:ascii="Arial" w:hAnsi="Arial" w:hint="default"/>
      </w:rPr>
    </w:lvl>
    <w:lvl w:ilvl="5" w:tplc="7D6C0E5A" w:tentative="1">
      <w:start w:val="1"/>
      <w:numFmt w:val="bullet"/>
      <w:lvlText w:val="•"/>
      <w:lvlJc w:val="left"/>
      <w:pPr>
        <w:tabs>
          <w:tab w:val="num" w:pos="4320"/>
        </w:tabs>
        <w:ind w:left="4320" w:hanging="360"/>
      </w:pPr>
      <w:rPr>
        <w:rFonts w:ascii="Arial" w:hAnsi="Arial" w:hint="default"/>
      </w:rPr>
    </w:lvl>
    <w:lvl w:ilvl="6" w:tplc="F2B46566" w:tentative="1">
      <w:start w:val="1"/>
      <w:numFmt w:val="bullet"/>
      <w:lvlText w:val="•"/>
      <w:lvlJc w:val="left"/>
      <w:pPr>
        <w:tabs>
          <w:tab w:val="num" w:pos="5040"/>
        </w:tabs>
        <w:ind w:left="5040" w:hanging="360"/>
      </w:pPr>
      <w:rPr>
        <w:rFonts w:ascii="Arial" w:hAnsi="Arial" w:hint="default"/>
      </w:rPr>
    </w:lvl>
    <w:lvl w:ilvl="7" w:tplc="7674CD62" w:tentative="1">
      <w:start w:val="1"/>
      <w:numFmt w:val="bullet"/>
      <w:lvlText w:val="•"/>
      <w:lvlJc w:val="left"/>
      <w:pPr>
        <w:tabs>
          <w:tab w:val="num" w:pos="5760"/>
        </w:tabs>
        <w:ind w:left="5760" w:hanging="360"/>
      </w:pPr>
      <w:rPr>
        <w:rFonts w:ascii="Arial" w:hAnsi="Arial" w:hint="default"/>
      </w:rPr>
    </w:lvl>
    <w:lvl w:ilvl="8" w:tplc="B6AA417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29633C"/>
    <w:multiLevelType w:val="multilevel"/>
    <w:tmpl w:val="958248F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8350762"/>
    <w:multiLevelType w:val="hybridMultilevel"/>
    <w:tmpl w:val="F6BE5824"/>
    <w:lvl w:ilvl="0" w:tplc="D39476D6">
      <w:start w:val="1"/>
      <w:numFmt w:val="decimal"/>
      <w:lvlText w:val="%1."/>
      <w:lvlJc w:val="left"/>
      <w:pPr>
        <w:tabs>
          <w:tab w:val="num" w:pos="720"/>
        </w:tabs>
        <w:ind w:left="720" w:hanging="360"/>
      </w:pPr>
    </w:lvl>
    <w:lvl w:ilvl="1" w:tplc="50647DEA" w:tentative="1">
      <w:start w:val="1"/>
      <w:numFmt w:val="decimal"/>
      <w:lvlText w:val="%2."/>
      <w:lvlJc w:val="left"/>
      <w:pPr>
        <w:tabs>
          <w:tab w:val="num" w:pos="1440"/>
        </w:tabs>
        <w:ind w:left="1440" w:hanging="360"/>
      </w:pPr>
    </w:lvl>
    <w:lvl w:ilvl="2" w:tplc="FD24E61C" w:tentative="1">
      <w:start w:val="1"/>
      <w:numFmt w:val="decimal"/>
      <w:lvlText w:val="%3."/>
      <w:lvlJc w:val="left"/>
      <w:pPr>
        <w:tabs>
          <w:tab w:val="num" w:pos="2160"/>
        </w:tabs>
        <w:ind w:left="2160" w:hanging="360"/>
      </w:pPr>
    </w:lvl>
    <w:lvl w:ilvl="3" w:tplc="5D889EEE" w:tentative="1">
      <w:start w:val="1"/>
      <w:numFmt w:val="decimal"/>
      <w:lvlText w:val="%4."/>
      <w:lvlJc w:val="left"/>
      <w:pPr>
        <w:tabs>
          <w:tab w:val="num" w:pos="2880"/>
        </w:tabs>
        <w:ind w:left="2880" w:hanging="360"/>
      </w:pPr>
    </w:lvl>
    <w:lvl w:ilvl="4" w:tplc="7E78501E" w:tentative="1">
      <w:start w:val="1"/>
      <w:numFmt w:val="decimal"/>
      <w:lvlText w:val="%5."/>
      <w:lvlJc w:val="left"/>
      <w:pPr>
        <w:tabs>
          <w:tab w:val="num" w:pos="3600"/>
        </w:tabs>
        <w:ind w:left="3600" w:hanging="360"/>
      </w:pPr>
    </w:lvl>
    <w:lvl w:ilvl="5" w:tplc="ED5EBCAE" w:tentative="1">
      <w:start w:val="1"/>
      <w:numFmt w:val="decimal"/>
      <w:lvlText w:val="%6."/>
      <w:lvlJc w:val="left"/>
      <w:pPr>
        <w:tabs>
          <w:tab w:val="num" w:pos="4320"/>
        </w:tabs>
        <w:ind w:left="4320" w:hanging="360"/>
      </w:pPr>
    </w:lvl>
    <w:lvl w:ilvl="6" w:tplc="F948FB8E" w:tentative="1">
      <w:start w:val="1"/>
      <w:numFmt w:val="decimal"/>
      <w:lvlText w:val="%7."/>
      <w:lvlJc w:val="left"/>
      <w:pPr>
        <w:tabs>
          <w:tab w:val="num" w:pos="5040"/>
        </w:tabs>
        <w:ind w:left="5040" w:hanging="360"/>
      </w:pPr>
    </w:lvl>
    <w:lvl w:ilvl="7" w:tplc="0D04BF2C" w:tentative="1">
      <w:start w:val="1"/>
      <w:numFmt w:val="decimal"/>
      <w:lvlText w:val="%8."/>
      <w:lvlJc w:val="left"/>
      <w:pPr>
        <w:tabs>
          <w:tab w:val="num" w:pos="5760"/>
        </w:tabs>
        <w:ind w:left="5760" w:hanging="360"/>
      </w:pPr>
    </w:lvl>
    <w:lvl w:ilvl="8" w:tplc="733A0998" w:tentative="1">
      <w:start w:val="1"/>
      <w:numFmt w:val="decimal"/>
      <w:lvlText w:val="%9."/>
      <w:lvlJc w:val="left"/>
      <w:pPr>
        <w:tabs>
          <w:tab w:val="num" w:pos="6480"/>
        </w:tabs>
        <w:ind w:left="6480" w:hanging="360"/>
      </w:pPr>
    </w:lvl>
  </w:abstractNum>
  <w:abstractNum w:abstractNumId="8" w15:restartNumberingAfterBreak="0">
    <w:nsid w:val="38F1324E"/>
    <w:multiLevelType w:val="multilevel"/>
    <w:tmpl w:val="1660D9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5C1E73"/>
    <w:multiLevelType w:val="multilevel"/>
    <w:tmpl w:val="9F249B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7DB56FF"/>
    <w:multiLevelType w:val="hybridMultilevel"/>
    <w:tmpl w:val="93942148"/>
    <w:lvl w:ilvl="0" w:tplc="174E916C">
      <w:start w:val="1"/>
      <w:numFmt w:val="decimal"/>
      <w:lvlText w:val="%1."/>
      <w:lvlJc w:val="left"/>
      <w:pPr>
        <w:tabs>
          <w:tab w:val="num" w:pos="720"/>
        </w:tabs>
        <w:ind w:left="720" w:hanging="360"/>
      </w:pPr>
    </w:lvl>
    <w:lvl w:ilvl="1" w:tplc="6FF0BB24" w:tentative="1">
      <w:start w:val="1"/>
      <w:numFmt w:val="decimal"/>
      <w:lvlText w:val="%2."/>
      <w:lvlJc w:val="left"/>
      <w:pPr>
        <w:tabs>
          <w:tab w:val="num" w:pos="1440"/>
        </w:tabs>
        <w:ind w:left="1440" w:hanging="360"/>
      </w:pPr>
    </w:lvl>
    <w:lvl w:ilvl="2" w:tplc="C4CA0588" w:tentative="1">
      <w:start w:val="1"/>
      <w:numFmt w:val="decimal"/>
      <w:lvlText w:val="%3."/>
      <w:lvlJc w:val="left"/>
      <w:pPr>
        <w:tabs>
          <w:tab w:val="num" w:pos="2160"/>
        </w:tabs>
        <w:ind w:left="2160" w:hanging="360"/>
      </w:pPr>
    </w:lvl>
    <w:lvl w:ilvl="3" w:tplc="993E5AFC" w:tentative="1">
      <w:start w:val="1"/>
      <w:numFmt w:val="decimal"/>
      <w:lvlText w:val="%4."/>
      <w:lvlJc w:val="left"/>
      <w:pPr>
        <w:tabs>
          <w:tab w:val="num" w:pos="2880"/>
        </w:tabs>
        <w:ind w:left="2880" w:hanging="360"/>
      </w:pPr>
    </w:lvl>
    <w:lvl w:ilvl="4" w:tplc="CBC6E1BE" w:tentative="1">
      <w:start w:val="1"/>
      <w:numFmt w:val="decimal"/>
      <w:lvlText w:val="%5."/>
      <w:lvlJc w:val="left"/>
      <w:pPr>
        <w:tabs>
          <w:tab w:val="num" w:pos="3600"/>
        </w:tabs>
        <w:ind w:left="3600" w:hanging="360"/>
      </w:pPr>
    </w:lvl>
    <w:lvl w:ilvl="5" w:tplc="D4CAC972" w:tentative="1">
      <w:start w:val="1"/>
      <w:numFmt w:val="decimal"/>
      <w:lvlText w:val="%6."/>
      <w:lvlJc w:val="left"/>
      <w:pPr>
        <w:tabs>
          <w:tab w:val="num" w:pos="4320"/>
        </w:tabs>
        <w:ind w:left="4320" w:hanging="360"/>
      </w:pPr>
    </w:lvl>
    <w:lvl w:ilvl="6" w:tplc="A04C3230" w:tentative="1">
      <w:start w:val="1"/>
      <w:numFmt w:val="decimal"/>
      <w:lvlText w:val="%7."/>
      <w:lvlJc w:val="left"/>
      <w:pPr>
        <w:tabs>
          <w:tab w:val="num" w:pos="5040"/>
        </w:tabs>
        <w:ind w:left="5040" w:hanging="360"/>
      </w:pPr>
    </w:lvl>
    <w:lvl w:ilvl="7" w:tplc="B142A668" w:tentative="1">
      <w:start w:val="1"/>
      <w:numFmt w:val="decimal"/>
      <w:lvlText w:val="%8."/>
      <w:lvlJc w:val="left"/>
      <w:pPr>
        <w:tabs>
          <w:tab w:val="num" w:pos="5760"/>
        </w:tabs>
        <w:ind w:left="5760" w:hanging="360"/>
      </w:pPr>
    </w:lvl>
    <w:lvl w:ilvl="8" w:tplc="552011B0" w:tentative="1">
      <w:start w:val="1"/>
      <w:numFmt w:val="decimal"/>
      <w:lvlText w:val="%9."/>
      <w:lvlJc w:val="left"/>
      <w:pPr>
        <w:tabs>
          <w:tab w:val="num" w:pos="6480"/>
        </w:tabs>
        <w:ind w:left="6480" w:hanging="360"/>
      </w:pPr>
    </w:lvl>
  </w:abstractNum>
  <w:abstractNum w:abstractNumId="11" w15:restartNumberingAfterBreak="0">
    <w:nsid w:val="519B6398"/>
    <w:multiLevelType w:val="multilevel"/>
    <w:tmpl w:val="ABF6A14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15453E"/>
    <w:multiLevelType w:val="multilevel"/>
    <w:tmpl w:val="1DE07ECC"/>
    <w:lvl w:ilvl="0">
      <w:start w:val="1"/>
      <w:numFmt w:val="decimal"/>
      <w:lvlText w:val="BAB %1"/>
      <w:lvlJc w:val="left"/>
      <w:pPr>
        <w:ind w:left="0" w:firstLine="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5C793F"/>
    <w:multiLevelType w:val="hybridMultilevel"/>
    <w:tmpl w:val="890E5A0A"/>
    <w:lvl w:ilvl="0" w:tplc="BF8E2E68">
      <w:start w:val="1"/>
      <w:numFmt w:val="decimal"/>
      <w:lvlText w:val="%1."/>
      <w:lvlJc w:val="left"/>
      <w:pPr>
        <w:tabs>
          <w:tab w:val="num" w:pos="720"/>
        </w:tabs>
        <w:ind w:left="720" w:hanging="360"/>
      </w:pPr>
    </w:lvl>
    <w:lvl w:ilvl="1" w:tplc="D46E407E" w:tentative="1">
      <w:start w:val="1"/>
      <w:numFmt w:val="decimal"/>
      <w:lvlText w:val="%2."/>
      <w:lvlJc w:val="left"/>
      <w:pPr>
        <w:tabs>
          <w:tab w:val="num" w:pos="1440"/>
        </w:tabs>
        <w:ind w:left="1440" w:hanging="360"/>
      </w:pPr>
    </w:lvl>
    <w:lvl w:ilvl="2" w:tplc="7ECA80E2" w:tentative="1">
      <w:start w:val="1"/>
      <w:numFmt w:val="decimal"/>
      <w:lvlText w:val="%3."/>
      <w:lvlJc w:val="left"/>
      <w:pPr>
        <w:tabs>
          <w:tab w:val="num" w:pos="2160"/>
        </w:tabs>
        <w:ind w:left="2160" w:hanging="360"/>
      </w:pPr>
    </w:lvl>
    <w:lvl w:ilvl="3" w:tplc="C4740B90" w:tentative="1">
      <w:start w:val="1"/>
      <w:numFmt w:val="decimal"/>
      <w:lvlText w:val="%4."/>
      <w:lvlJc w:val="left"/>
      <w:pPr>
        <w:tabs>
          <w:tab w:val="num" w:pos="2880"/>
        </w:tabs>
        <w:ind w:left="2880" w:hanging="360"/>
      </w:pPr>
    </w:lvl>
    <w:lvl w:ilvl="4" w:tplc="080AC502" w:tentative="1">
      <w:start w:val="1"/>
      <w:numFmt w:val="decimal"/>
      <w:lvlText w:val="%5."/>
      <w:lvlJc w:val="left"/>
      <w:pPr>
        <w:tabs>
          <w:tab w:val="num" w:pos="3600"/>
        </w:tabs>
        <w:ind w:left="3600" w:hanging="360"/>
      </w:pPr>
    </w:lvl>
    <w:lvl w:ilvl="5" w:tplc="75B4038C" w:tentative="1">
      <w:start w:val="1"/>
      <w:numFmt w:val="decimal"/>
      <w:lvlText w:val="%6."/>
      <w:lvlJc w:val="left"/>
      <w:pPr>
        <w:tabs>
          <w:tab w:val="num" w:pos="4320"/>
        </w:tabs>
        <w:ind w:left="4320" w:hanging="360"/>
      </w:pPr>
    </w:lvl>
    <w:lvl w:ilvl="6" w:tplc="62D29174" w:tentative="1">
      <w:start w:val="1"/>
      <w:numFmt w:val="decimal"/>
      <w:lvlText w:val="%7."/>
      <w:lvlJc w:val="left"/>
      <w:pPr>
        <w:tabs>
          <w:tab w:val="num" w:pos="5040"/>
        </w:tabs>
        <w:ind w:left="5040" w:hanging="360"/>
      </w:pPr>
    </w:lvl>
    <w:lvl w:ilvl="7" w:tplc="74FC606E" w:tentative="1">
      <w:start w:val="1"/>
      <w:numFmt w:val="decimal"/>
      <w:lvlText w:val="%8."/>
      <w:lvlJc w:val="left"/>
      <w:pPr>
        <w:tabs>
          <w:tab w:val="num" w:pos="5760"/>
        </w:tabs>
        <w:ind w:left="5760" w:hanging="360"/>
      </w:pPr>
    </w:lvl>
    <w:lvl w:ilvl="8" w:tplc="BC7ED50E" w:tentative="1">
      <w:start w:val="1"/>
      <w:numFmt w:val="decimal"/>
      <w:lvlText w:val="%9."/>
      <w:lvlJc w:val="left"/>
      <w:pPr>
        <w:tabs>
          <w:tab w:val="num" w:pos="6480"/>
        </w:tabs>
        <w:ind w:left="6480" w:hanging="360"/>
      </w:pPr>
    </w:lvl>
  </w:abstractNum>
  <w:abstractNum w:abstractNumId="14" w15:restartNumberingAfterBreak="0">
    <w:nsid w:val="68303E4F"/>
    <w:multiLevelType w:val="hybridMultilevel"/>
    <w:tmpl w:val="2544FFE2"/>
    <w:lvl w:ilvl="0" w:tplc="104EE692">
      <w:start w:val="1"/>
      <w:numFmt w:val="decimal"/>
      <w:lvlText w:val="%1."/>
      <w:lvlJc w:val="left"/>
      <w:pPr>
        <w:tabs>
          <w:tab w:val="num" w:pos="720"/>
        </w:tabs>
        <w:ind w:left="720" w:hanging="360"/>
      </w:pPr>
    </w:lvl>
    <w:lvl w:ilvl="1" w:tplc="F5F8F5D0" w:tentative="1">
      <w:start w:val="1"/>
      <w:numFmt w:val="decimal"/>
      <w:lvlText w:val="%2."/>
      <w:lvlJc w:val="left"/>
      <w:pPr>
        <w:tabs>
          <w:tab w:val="num" w:pos="1440"/>
        </w:tabs>
        <w:ind w:left="1440" w:hanging="360"/>
      </w:pPr>
    </w:lvl>
    <w:lvl w:ilvl="2" w:tplc="E8BACFDA" w:tentative="1">
      <w:start w:val="1"/>
      <w:numFmt w:val="decimal"/>
      <w:lvlText w:val="%3."/>
      <w:lvlJc w:val="left"/>
      <w:pPr>
        <w:tabs>
          <w:tab w:val="num" w:pos="2160"/>
        </w:tabs>
        <w:ind w:left="2160" w:hanging="360"/>
      </w:pPr>
    </w:lvl>
    <w:lvl w:ilvl="3" w:tplc="5E52F4A0" w:tentative="1">
      <w:start w:val="1"/>
      <w:numFmt w:val="decimal"/>
      <w:lvlText w:val="%4."/>
      <w:lvlJc w:val="left"/>
      <w:pPr>
        <w:tabs>
          <w:tab w:val="num" w:pos="2880"/>
        </w:tabs>
        <w:ind w:left="2880" w:hanging="360"/>
      </w:pPr>
    </w:lvl>
    <w:lvl w:ilvl="4" w:tplc="23B4292C" w:tentative="1">
      <w:start w:val="1"/>
      <w:numFmt w:val="decimal"/>
      <w:lvlText w:val="%5."/>
      <w:lvlJc w:val="left"/>
      <w:pPr>
        <w:tabs>
          <w:tab w:val="num" w:pos="3600"/>
        </w:tabs>
        <w:ind w:left="3600" w:hanging="360"/>
      </w:pPr>
    </w:lvl>
    <w:lvl w:ilvl="5" w:tplc="CB143D7C" w:tentative="1">
      <w:start w:val="1"/>
      <w:numFmt w:val="decimal"/>
      <w:lvlText w:val="%6."/>
      <w:lvlJc w:val="left"/>
      <w:pPr>
        <w:tabs>
          <w:tab w:val="num" w:pos="4320"/>
        </w:tabs>
        <w:ind w:left="4320" w:hanging="360"/>
      </w:pPr>
    </w:lvl>
    <w:lvl w:ilvl="6" w:tplc="0C0A36F6" w:tentative="1">
      <w:start w:val="1"/>
      <w:numFmt w:val="decimal"/>
      <w:lvlText w:val="%7."/>
      <w:lvlJc w:val="left"/>
      <w:pPr>
        <w:tabs>
          <w:tab w:val="num" w:pos="5040"/>
        </w:tabs>
        <w:ind w:left="5040" w:hanging="360"/>
      </w:pPr>
    </w:lvl>
    <w:lvl w:ilvl="7" w:tplc="C8FE5ED6" w:tentative="1">
      <w:start w:val="1"/>
      <w:numFmt w:val="decimal"/>
      <w:lvlText w:val="%8."/>
      <w:lvlJc w:val="left"/>
      <w:pPr>
        <w:tabs>
          <w:tab w:val="num" w:pos="5760"/>
        </w:tabs>
        <w:ind w:left="5760" w:hanging="360"/>
      </w:pPr>
    </w:lvl>
    <w:lvl w:ilvl="8" w:tplc="9320E148" w:tentative="1">
      <w:start w:val="1"/>
      <w:numFmt w:val="decimal"/>
      <w:lvlText w:val="%9."/>
      <w:lvlJc w:val="left"/>
      <w:pPr>
        <w:tabs>
          <w:tab w:val="num" w:pos="6480"/>
        </w:tabs>
        <w:ind w:left="6480" w:hanging="360"/>
      </w:pPr>
    </w:lvl>
  </w:abstractNum>
  <w:abstractNum w:abstractNumId="15" w15:restartNumberingAfterBreak="0">
    <w:nsid w:val="766679D0"/>
    <w:multiLevelType w:val="hybridMultilevel"/>
    <w:tmpl w:val="F86A9366"/>
    <w:lvl w:ilvl="0" w:tplc="26004E38">
      <w:start w:val="1"/>
      <w:numFmt w:val="decimal"/>
      <w:lvlText w:val="%1."/>
      <w:lvlJc w:val="left"/>
      <w:pPr>
        <w:tabs>
          <w:tab w:val="num" w:pos="720"/>
        </w:tabs>
        <w:ind w:left="720" w:hanging="360"/>
      </w:pPr>
    </w:lvl>
    <w:lvl w:ilvl="1" w:tplc="1F623550" w:tentative="1">
      <w:start w:val="1"/>
      <w:numFmt w:val="decimal"/>
      <w:lvlText w:val="%2."/>
      <w:lvlJc w:val="left"/>
      <w:pPr>
        <w:tabs>
          <w:tab w:val="num" w:pos="1440"/>
        </w:tabs>
        <w:ind w:left="1440" w:hanging="360"/>
      </w:pPr>
    </w:lvl>
    <w:lvl w:ilvl="2" w:tplc="B17A3326" w:tentative="1">
      <w:start w:val="1"/>
      <w:numFmt w:val="decimal"/>
      <w:lvlText w:val="%3."/>
      <w:lvlJc w:val="left"/>
      <w:pPr>
        <w:tabs>
          <w:tab w:val="num" w:pos="2160"/>
        </w:tabs>
        <w:ind w:left="2160" w:hanging="360"/>
      </w:pPr>
    </w:lvl>
    <w:lvl w:ilvl="3" w:tplc="A22AAB84" w:tentative="1">
      <w:start w:val="1"/>
      <w:numFmt w:val="decimal"/>
      <w:lvlText w:val="%4."/>
      <w:lvlJc w:val="left"/>
      <w:pPr>
        <w:tabs>
          <w:tab w:val="num" w:pos="2880"/>
        </w:tabs>
        <w:ind w:left="2880" w:hanging="360"/>
      </w:pPr>
    </w:lvl>
    <w:lvl w:ilvl="4" w:tplc="811EE09E" w:tentative="1">
      <w:start w:val="1"/>
      <w:numFmt w:val="decimal"/>
      <w:lvlText w:val="%5."/>
      <w:lvlJc w:val="left"/>
      <w:pPr>
        <w:tabs>
          <w:tab w:val="num" w:pos="3600"/>
        </w:tabs>
        <w:ind w:left="3600" w:hanging="360"/>
      </w:pPr>
    </w:lvl>
    <w:lvl w:ilvl="5" w:tplc="CD4C5B5E" w:tentative="1">
      <w:start w:val="1"/>
      <w:numFmt w:val="decimal"/>
      <w:lvlText w:val="%6."/>
      <w:lvlJc w:val="left"/>
      <w:pPr>
        <w:tabs>
          <w:tab w:val="num" w:pos="4320"/>
        </w:tabs>
        <w:ind w:left="4320" w:hanging="360"/>
      </w:pPr>
    </w:lvl>
    <w:lvl w:ilvl="6" w:tplc="B16AE592" w:tentative="1">
      <w:start w:val="1"/>
      <w:numFmt w:val="decimal"/>
      <w:lvlText w:val="%7."/>
      <w:lvlJc w:val="left"/>
      <w:pPr>
        <w:tabs>
          <w:tab w:val="num" w:pos="5040"/>
        </w:tabs>
        <w:ind w:left="5040" w:hanging="360"/>
      </w:pPr>
    </w:lvl>
    <w:lvl w:ilvl="7" w:tplc="9D0EAE84" w:tentative="1">
      <w:start w:val="1"/>
      <w:numFmt w:val="decimal"/>
      <w:lvlText w:val="%8."/>
      <w:lvlJc w:val="left"/>
      <w:pPr>
        <w:tabs>
          <w:tab w:val="num" w:pos="5760"/>
        </w:tabs>
        <w:ind w:left="5760" w:hanging="360"/>
      </w:pPr>
    </w:lvl>
    <w:lvl w:ilvl="8" w:tplc="7D3007BA" w:tentative="1">
      <w:start w:val="1"/>
      <w:numFmt w:val="decimal"/>
      <w:lvlText w:val="%9."/>
      <w:lvlJc w:val="left"/>
      <w:pPr>
        <w:tabs>
          <w:tab w:val="num" w:pos="6480"/>
        </w:tabs>
        <w:ind w:left="6480" w:hanging="360"/>
      </w:pPr>
    </w:lvl>
  </w:abstractNum>
  <w:num w:numId="1" w16cid:durableId="956375417">
    <w:abstractNumId w:val="12"/>
  </w:num>
  <w:num w:numId="2" w16cid:durableId="1459758323">
    <w:abstractNumId w:val="5"/>
  </w:num>
  <w:num w:numId="3" w16cid:durableId="799611588">
    <w:abstractNumId w:val="1"/>
  </w:num>
  <w:num w:numId="4" w16cid:durableId="2069068031">
    <w:abstractNumId w:val="15"/>
  </w:num>
  <w:num w:numId="5" w16cid:durableId="1371300577">
    <w:abstractNumId w:val="4"/>
  </w:num>
  <w:num w:numId="6" w16cid:durableId="1542520946">
    <w:abstractNumId w:val="13"/>
  </w:num>
  <w:num w:numId="7" w16cid:durableId="8264788">
    <w:abstractNumId w:val="7"/>
  </w:num>
  <w:num w:numId="8" w16cid:durableId="347021505">
    <w:abstractNumId w:val="10"/>
  </w:num>
  <w:num w:numId="9" w16cid:durableId="1366759074">
    <w:abstractNumId w:val="2"/>
  </w:num>
  <w:num w:numId="10" w16cid:durableId="1917787971">
    <w:abstractNumId w:val="14"/>
  </w:num>
  <w:num w:numId="11" w16cid:durableId="1394936870">
    <w:abstractNumId w:val="9"/>
  </w:num>
  <w:num w:numId="12" w16cid:durableId="19232235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26891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8655260">
    <w:abstractNumId w:val="0"/>
  </w:num>
  <w:num w:numId="15" w16cid:durableId="243733808">
    <w:abstractNumId w:val="8"/>
  </w:num>
  <w:num w:numId="16" w16cid:durableId="385691433">
    <w:abstractNumId w:val="6"/>
  </w:num>
  <w:num w:numId="17" w16cid:durableId="1723409104">
    <w:abstractNumId w:val="3"/>
  </w:num>
  <w:num w:numId="18" w16cid:durableId="651106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xNbUwNTUzM7C0NDRT0lEKTi0uzszPAykwM6oFAIL/jlktAAAA"/>
  </w:docVars>
  <w:rsids>
    <w:rsidRoot w:val="00E20F37"/>
    <w:rsid w:val="000004DB"/>
    <w:rsid w:val="00010093"/>
    <w:rsid w:val="00034CA9"/>
    <w:rsid w:val="000410B4"/>
    <w:rsid w:val="000444D6"/>
    <w:rsid w:val="000555C9"/>
    <w:rsid w:val="0006046E"/>
    <w:rsid w:val="00064085"/>
    <w:rsid w:val="000642AC"/>
    <w:rsid w:val="000650F1"/>
    <w:rsid w:val="0007169D"/>
    <w:rsid w:val="000746E5"/>
    <w:rsid w:val="000852E4"/>
    <w:rsid w:val="000B1B07"/>
    <w:rsid w:val="000B41E1"/>
    <w:rsid w:val="000D4826"/>
    <w:rsid w:val="000D7F6F"/>
    <w:rsid w:val="000F36CE"/>
    <w:rsid w:val="000F6100"/>
    <w:rsid w:val="001001F5"/>
    <w:rsid w:val="00103CEF"/>
    <w:rsid w:val="0011498D"/>
    <w:rsid w:val="00130708"/>
    <w:rsid w:val="001307A2"/>
    <w:rsid w:val="001518C8"/>
    <w:rsid w:val="00163433"/>
    <w:rsid w:val="00193439"/>
    <w:rsid w:val="00196B8D"/>
    <w:rsid w:val="00196BD0"/>
    <w:rsid w:val="001A2B1B"/>
    <w:rsid w:val="001A5B94"/>
    <w:rsid w:val="001C4DCB"/>
    <w:rsid w:val="001D5A0A"/>
    <w:rsid w:val="001D5E1B"/>
    <w:rsid w:val="001E6FB7"/>
    <w:rsid w:val="001F38E2"/>
    <w:rsid w:val="0021213E"/>
    <w:rsid w:val="00213B3D"/>
    <w:rsid w:val="00222846"/>
    <w:rsid w:val="00233D24"/>
    <w:rsid w:val="002529B8"/>
    <w:rsid w:val="00260D68"/>
    <w:rsid w:val="00267D46"/>
    <w:rsid w:val="002723C6"/>
    <w:rsid w:val="00294179"/>
    <w:rsid w:val="002A7490"/>
    <w:rsid w:val="002B0EAA"/>
    <w:rsid w:val="002D7156"/>
    <w:rsid w:val="002D7E77"/>
    <w:rsid w:val="002E0451"/>
    <w:rsid w:val="002E5C4D"/>
    <w:rsid w:val="002F0E59"/>
    <w:rsid w:val="002F7D10"/>
    <w:rsid w:val="003109EC"/>
    <w:rsid w:val="00324DC0"/>
    <w:rsid w:val="00330B27"/>
    <w:rsid w:val="0036064E"/>
    <w:rsid w:val="00362781"/>
    <w:rsid w:val="00367FAE"/>
    <w:rsid w:val="00374237"/>
    <w:rsid w:val="003813B3"/>
    <w:rsid w:val="003817F9"/>
    <w:rsid w:val="00382E5C"/>
    <w:rsid w:val="0039184C"/>
    <w:rsid w:val="00391E63"/>
    <w:rsid w:val="0039244B"/>
    <w:rsid w:val="003A58AE"/>
    <w:rsid w:val="003A7B19"/>
    <w:rsid w:val="003D20B4"/>
    <w:rsid w:val="003D22BD"/>
    <w:rsid w:val="003E0289"/>
    <w:rsid w:val="003E60B7"/>
    <w:rsid w:val="003F7616"/>
    <w:rsid w:val="00402720"/>
    <w:rsid w:val="00404336"/>
    <w:rsid w:val="004100E9"/>
    <w:rsid w:val="0042681A"/>
    <w:rsid w:val="00430E99"/>
    <w:rsid w:val="004346E4"/>
    <w:rsid w:val="0043494C"/>
    <w:rsid w:val="00445308"/>
    <w:rsid w:val="00453D9D"/>
    <w:rsid w:val="00457859"/>
    <w:rsid w:val="00475A1A"/>
    <w:rsid w:val="0048367C"/>
    <w:rsid w:val="00486DBF"/>
    <w:rsid w:val="004916C2"/>
    <w:rsid w:val="004A33AC"/>
    <w:rsid w:val="004B188E"/>
    <w:rsid w:val="004B274B"/>
    <w:rsid w:val="004C0434"/>
    <w:rsid w:val="004C1F85"/>
    <w:rsid w:val="004D12AB"/>
    <w:rsid w:val="004F55D1"/>
    <w:rsid w:val="004F5655"/>
    <w:rsid w:val="00506FBD"/>
    <w:rsid w:val="00507D3E"/>
    <w:rsid w:val="00514C55"/>
    <w:rsid w:val="00516AFE"/>
    <w:rsid w:val="005176A6"/>
    <w:rsid w:val="00520D6E"/>
    <w:rsid w:val="00523EC9"/>
    <w:rsid w:val="0053106D"/>
    <w:rsid w:val="005425A1"/>
    <w:rsid w:val="00554E27"/>
    <w:rsid w:val="00597ADF"/>
    <w:rsid w:val="005A018C"/>
    <w:rsid w:val="005B2BAD"/>
    <w:rsid w:val="005B6C04"/>
    <w:rsid w:val="005C762F"/>
    <w:rsid w:val="005D61AE"/>
    <w:rsid w:val="005E57FE"/>
    <w:rsid w:val="005E687B"/>
    <w:rsid w:val="005F2542"/>
    <w:rsid w:val="005F6505"/>
    <w:rsid w:val="0060205D"/>
    <w:rsid w:val="00606E11"/>
    <w:rsid w:val="00607C15"/>
    <w:rsid w:val="00617BAF"/>
    <w:rsid w:val="00622B2D"/>
    <w:rsid w:val="00626D2F"/>
    <w:rsid w:val="00635811"/>
    <w:rsid w:val="00646B11"/>
    <w:rsid w:val="006679AA"/>
    <w:rsid w:val="00670FEB"/>
    <w:rsid w:val="00680C38"/>
    <w:rsid w:val="006827DA"/>
    <w:rsid w:val="00686606"/>
    <w:rsid w:val="00696178"/>
    <w:rsid w:val="006A1CAB"/>
    <w:rsid w:val="006A25FF"/>
    <w:rsid w:val="006A2E29"/>
    <w:rsid w:val="006B3DC6"/>
    <w:rsid w:val="006C2B16"/>
    <w:rsid w:val="006C6201"/>
    <w:rsid w:val="006C6822"/>
    <w:rsid w:val="006C7F9E"/>
    <w:rsid w:val="006E05F7"/>
    <w:rsid w:val="006E43F8"/>
    <w:rsid w:val="006E4547"/>
    <w:rsid w:val="006F0863"/>
    <w:rsid w:val="006F1B2A"/>
    <w:rsid w:val="007033EC"/>
    <w:rsid w:val="00713602"/>
    <w:rsid w:val="00714AEA"/>
    <w:rsid w:val="00715BB7"/>
    <w:rsid w:val="00720032"/>
    <w:rsid w:val="0072251A"/>
    <w:rsid w:val="00734627"/>
    <w:rsid w:val="0074009E"/>
    <w:rsid w:val="007739C6"/>
    <w:rsid w:val="00783572"/>
    <w:rsid w:val="00785CA4"/>
    <w:rsid w:val="00792EAA"/>
    <w:rsid w:val="007961CD"/>
    <w:rsid w:val="007A3076"/>
    <w:rsid w:val="007A3D3F"/>
    <w:rsid w:val="007A4DE7"/>
    <w:rsid w:val="007A6351"/>
    <w:rsid w:val="007B2084"/>
    <w:rsid w:val="007B32B0"/>
    <w:rsid w:val="007C089B"/>
    <w:rsid w:val="007C0D67"/>
    <w:rsid w:val="007C343F"/>
    <w:rsid w:val="007D2183"/>
    <w:rsid w:val="007D3DC8"/>
    <w:rsid w:val="007D530D"/>
    <w:rsid w:val="007E4EBB"/>
    <w:rsid w:val="007F60A6"/>
    <w:rsid w:val="007F6158"/>
    <w:rsid w:val="00801A2B"/>
    <w:rsid w:val="00801FAE"/>
    <w:rsid w:val="00802B25"/>
    <w:rsid w:val="00822404"/>
    <w:rsid w:val="008250E0"/>
    <w:rsid w:val="00834B3E"/>
    <w:rsid w:val="00834E15"/>
    <w:rsid w:val="00850F12"/>
    <w:rsid w:val="008612BB"/>
    <w:rsid w:val="00870510"/>
    <w:rsid w:val="00872586"/>
    <w:rsid w:val="008731FB"/>
    <w:rsid w:val="008B64DA"/>
    <w:rsid w:val="008C444E"/>
    <w:rsid w:val="008C7DAA"/>
    <w:rsid w:val="008D4DE1"/>
    <w:rsid w:val="008D4E9B"/>
    <w:rsid w:val="008E28F1"/>
    <w:rsid w:val="008E7C8A"/>
    <w:rsid w:val="008F5D08"/>
    <w:rsid w:val="008F7310"/>
    <w:rsid w:val="009039F3"/>
    <w:rsid w:val="009056CE"/>
    <w:rsid w:val="00914691"/>
    <w:rsid w:val="00914F57"/>
    <w:rsid w:val="0092051C"/>
    <w:rsid w:val="00927981"/>
    <w:rsid w:val="00930C40"/>
    <w:rsid w:val="00945D57"/>
    <w:rsid w:val="00954260"/>
    <w:rsid w:val="00962BB4"/>
    <w:rsid w:val="00971D72"/>
    <w:rsid w:val="0098047D"/>
    <w:rsid w:val="00981552"/>
    <w:rsid w:val="00981D07"/>
    <w:rsid w:val="0098447F"/>
    <w:rsid w:val="00993C8A"/>
    <w:rsid w:val="009A04E9"/>
    <w:rsid w:val="009A1709"/>
    <w:rsid w:val="009A35DB"/>
    <w:rsid w:val="009A404F"/>
    <w:rsid w:val="009A70F8"/>
    <w:rsid w:val="009A767B"/>
    <w:rsid w:val="009C3E5F"/>
    <w:rsid w:val="009D17BD"/>
    <w:rsid w:val="009D74CA"/>
    <w:rsid w:val="009F0A5D"/>
    <w:rsid w:val="009F3774"/>
    <w:rsid w:val="009F3DB9"/>
    <w:rsid w:val="00A12307"/>
    <w:rsid w:val="00A236CB"/>
    <w:rsid w:val="00A279AD"/>
    <w:rsid w:val="00A400A7"/>
    <w:rsid w:val="00A41780"/>
    <w:rsid w:val="00A46C32"/>
    <w:rsid w:val="00A52927"/>
    <w:rsid w:val="00A607BC"/>
    <w:rsid w:val="00A67671"/>
    <w:rsid w:val="00A74C51"/>
    <w:rsid w:val="00A76E8B"/>
    <w:rsid w:val="00A847DB"/>
    <w:rsid w:val="00A9423A"/>
    <w:rsid w:val="00AA1AE8"/>
    <w:rsid w:val="00AA49B1"/>
    <w:rsid w:val="00AA6714"/>
    <w:rsid w:val="00AB2599"/>
    <w:rsid w:val="00AB6266"/>
    <w:rsid w:val="00AB6FA4"/>
    <w:rsid w:val="00AB79FD"/>
    <w:rsid w:val="00AC506E"/>
    <w:rsid w:val="00AC59DF"/>
    <w:rsid w:val="00AE1636"/>
    <w:rsid w:val="00AE7C7B"/>
    <w:rsid w:val="00AF2F6F"/>
    <w:rsid w:val="00B01974"/>
    <w:rsid w:val="00B10242"/>
    <w:rsid w:val="00B1041D"/>
    <w:rsid w:val="00B10A57"/>
    <w:rsid w:val="00B21F48"/>
    <w:rsid w:val="00B22419"/>
    <w:rsid w:val="00B23CA3"/>
    <w:rsid w:val="00B241E5"/>
    <w:rsid w:val="00B31C20"/>
    <w:rsid w:val="00B40CDB"/>
    <w:rsid w:val="00B4372F"/>
    <w:rsid w:val="00B4519F"/>
    <w:rsid w:val="00B45785"/>
    <w:rsid w:val="00B62FFC"/>
    <w:rsid w:val="00B640A2"/>
    <w:rsid w:val="00B71324"/>
    <w:rsid w:val="00B811D3"/>
    <w:rsid w:val="00B81BF8"/>
    <w:rsid w:val="00B81F51"/>
    <w:rsid w:val="00B865E0"/>
    <w:rsid w:val="00B90154"/>
    <w:rsid w:val="00B91177"/>
    <w:rsid w:val="00BA14BC"/>
    <w:rsid w:val="00BB2699"/>
    <w:rsid w:val="00BB7BCD"/>
    <w:rsid w:val="00BD2DB2"/>
    <w:rsid w:val="00BE12AA"/>
    <w:rsid w:val="00BE1C45"/>
    <w:rsid w:val="00BF3EEA"/>
    <w:rsid w:val="00BF4B55"/>
    <w:rsid w:val="00BF5181"/>
    <w:rsid w:val="00C018DA"/>
    <w:rsid w:val="00C01910"/>
    <w:rsid w:val="00C020AD"/>
    <w:rsid w:val="00C25F8B"/>
    <w:rsid w:val="00C27BE5"/>
    <w:rsid w:val="00C3059E"/>
    <w:rsid w:val="00C30D7D"/>
    <w:rsid w:val="00C3437C"/>
    <w:rsid w:val="00C34AE4"/>
    <w:rsid w:val="00C42043"/>
    <w:rsid w:val="00C445EB"/>
    <w:rsid w:val="00C4496A"/>
    <w:rsid w:val="00C45A96"/>
    <w:rsid w:val="00C47299"/>
    <w:rsid w:val="00C51BBA"/>
    <w:rsid w:val="00C55D94"/>
    <w:rsid w:val="00C62E68"/>
    <w:rsid w:val="00C72358"/>
    <w:rsid w:val="00C80A45"/>
    <w:rsid w:val="00C874CD"/>
    <w:rsid w:val="00C90813"/>
    <w:rsid w:val="00C923DF"/>
    <w:rsid w:val="00C923FB"/>
    <w:rsid w:val="00CA283D"/>
    <w:rsid w:val="00CA3542"/>
    <w:rsid w:val="00CB0E45"/>
    <w:rsid w:val="00CB4D68"/>
    <w:rsid w:val="00CC0A0C"/>
    <w:rsid w:val="00CC1488"/>
    <w:rsid w:val="00CE5852"/>
    <w:rsid w:val="00CE608E"/>
    <w:rsid w:val="00CE7925"/>
    <w:rsid w:val="00CF1E1D"/>
    <w:rsid w:val="00CF28CE"/>
    <w:rsid w:val="00CF565A"/>
    <w:rsid w:val="00D02998"/>
    <w:rsid w:val="00D04DE8"/>
    <w:rsid w:val="00D06CD9"/>
    <w:rsid w:val="00D14BAB"/>
    <w:rsid w:val="00D21932"/>
    <w:rsid w:val="00D23461"/>
    <w:rsid w:val="00D234EF"/>
    <w:rsid w:val="00D30348"/>
    <w:rsid w:val="00D40999"/>
    <w:rsid w:val="00D467FF"/>
    <w:rsid w:val="00D47B14"/>
    <w:rsid w:val="00D55EBD"/>
    <w:rsid w:val="00D566CE"/>
    <w:rsid w:val="00D62758"/>
    <w:rsid w:val="00D62E9B"/>
    <w:rsid w:val="00D805CE"/>
    <w:rsid w:val="00D82357"/>
    <w:rsid w:val="00DA101D"/>
    <w:rsid w:val="00DA228D"/>
    <w:rsid w:val="00DA3AED"/>
    <w:rsid w:val="00DB0B37"/>
    <w:rsid w:val="00DB5F14"/>
    <w:rsid w:val="00DB63C8"/>
    <w:rsid w:val="00DB7895"/>
    <w:rsid w:val="00DC3F7D"/>
    <w:rsid w:val="00DD67C2"/>
    <w:rsid w:val="00DE5B50"/>
    <w:rsid w:val="00DE600B"/>
    <w:rsid w:val="00E00A52"/>
    <w:rsid w:val="00E06AD6"/>
    <w:rsid w:val="00E07A2A"/>
    <w:rsid w:val="00E10320"/>
    <w:rsid w:val="00E20F37"/>
    <w:rsid w:val="00E22B83"/>
    <w:rsid w:val="00E27F1D"/>
    <w:rsid w:val="00E32213"/>
    <w:rsid w:val="00E43799"/>
    <w:rsid w:val="00E46DDC"/>
    <w:rsid w:val="00E52E43"/>
    <w:rsid w:val="00E54215"/>
    <w:rsid w:val="00E55C36"/>
    <w:rsid w:val="00E565ED"/>
    <w:rsid w:val="00E6095B"/>
    <w:rsid w:val="00E66B7A"/>
    <w:rsid w:val="00E67304"/>
    <w:rsid w:val="00E741C0"/>
    <w:rsid w:val="00E74D22"/>
    <w:rsid w:val="00E7734A"/>
    <w:rsid w:val="00E90B2A"/>
    <w:rsid w:val="00E924D5"/>
    <w:rsid w:val="00EA3522"/>
    <w:rsid w:val="00EA53C5"/>
    <w:rsid w:val="00EA6426"/>
    <w:rsid w:val="00EB090F"/>
    <w:rsid w:val="00EB5BE8"/>
    <w:rsid w:val="00EC3899"/>
    <w:rsid w:val="00EC61F6"/>
    <w:rsid w:val="00ED2B30"/>
    <w:rsid w:val="00ED3289"/>
    <w:rsid w:val="00EE1B21"/>
    <w:rsid w:val="00EE72E8"/>
    <w:rsid w:val="00EF168C"/>
    <w:rsid w:val="00F07C45"/>
    <w:rsid w:val="00F206EC"/>
    <w:rsid w:val="00F223C2"/>
    <w:rsid w:val="00F22CF1"/>
    <w:rsid w:val="00F27FA5"/>
    <w:rsid w:val="00F351FE"/>
    <w:rsid w:val="00F42E34"/>
    <w:rsid w:val="00F511EE"/>
    <w:rsid w:val="00F51E6D"/>
    <w:rsid w:val="00F53115"/>
    <w:rsid w:val="00F556AF"/>
    <w:rsid w:val="00F618CD"/>
    <w:rsid w:val="00F669A2"/>
    <w:rsid w:val="00F70448"/>
    <w:rsid w:val="00F75AB9"/>
    <w:rsid w:val="00F75FA6"/>
    <w:rsid w:val="00F7673E"/>
    <w:rsid w:val="00F77E06"/>
    <w:rsid w:val="00F81AA4"/>
    <w:rsid w:val="00F842F1"/>
    <w:rsid w:val="00F845D3"/>
    <w:rsid w:val="00F94A7C"/>
    <w:rsid w:val="00F97871"/>
    <w:rsid w:val="00FA102C"/>
    <w:rsid w:val="00FB0A18"/>
    <w:rsid w:val="00FC6D9A"/>
    <w:rsid w:val="00FD55CD"/>
    <w:rsid w:val="00FE0FFE"/>
    <w:rsid w:val="00FE598F"/>
    <w:rsid w:val="00FF56F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D580A"/>
  <w15:chartTrackingRefBased/>
  <w15:docId w15:val="{7B7B5A58-0863-492D-AAA8-6AA1F7C9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F37"/>
  </w:style>
  <w:style w:type="paragraph" w:styleId="Heading1">
    <w:name w:val="heading 1"/>
    <w:basedOn w:val="Normal"/>
    <w:next w:val="Normal"/>
    <w:link w:val="Heading1Char"/>
    <w:uiPriority w:val="9"/>
    <w:qFormat/>
    <w:rsid w:val="00AB25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link w:val="Heading2Char"/>
    <w:autoRedefine/>
    <w:uiPriority w:val="9"/>
    <w:unhideWhenUsed/>
    <w:qFormat/>
    <w:rsid w:val="00AB2599"/>
    <w:pPr>
      <w:spacing w:line="480" w:lineRule="auto"/>
      <w:ind w:left="720" w:hanging="720"/>
      <w:jc w:val="both"/>
      <w:outlineLvl w:val="1"/>
    </w:pPr>
    <w:rPr>
      <w:rFonts w:ascii="Times New Roman" w:hAnsi="Times New Roman"/>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599"/>
    <w:rPr>
      <w:rFonts w:ascii="Times New Roman" w:eastAsiaTheme="majorEastAsia" w:hAnsi="Times New Roman" w:cstheme="majorBidi"/>
      <w:b/>
      <w:sz w:val="24"/>
      <w:szCs w:val="26"/>
    </w:rPr>
  </w:style>
  <w:style w:type="character" w:customStyle="1" w:styleId="Heading1Char">
    <w:name w:val="Heading 1 Char"/>
    <w:basedOn w:val="DefaultParagraphFont"/>
    <w:link w:val="Heading1"/>
    <w:uiPriority w:val="9"/>
    <w:rsid w:val="00AB259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20F37"/>
    <w:pPr>
      <w:spacing w:after="0" w:line="240" w:lineRule="auto"/>
    </w:pPr>
  </w:style>
  <w:style w:type="character" w:customStyle="1" w:styleId="rynqvb">
    <w:name w:val="rynqvb"/>
    <w:basedOn w:val="DefaultParagraphFont"/>
    <w:rsid w:val="00F77E06"/>
  </w:style>
  <w:style w:type="character" w:customStyle="1" w:styleId="hwtze">
    <w:name w:val="hwtze"/>
    <w:basedOn w:val="DefaultParagraphFont"/>
    <w:rsid w:val="00F77E06"/>
  </w:style>
  <w:style w:type="character" w:customStyle="1" w:styleId="y2iqfc">
    <w:name w:val="y2iqfc"/>
    <w:basedOn w:val="DefaultParagraphFont"/>
    <w:rsid w:val="00BE12AA"/>
  </w:style>
  <w:style w:type="paragraph" w:styleId="ListParagraph">
    <w:name w:val="List Paragraph"/>
    <w:basedOn w:val="Normal"/>
    <w:uiPriority w:val="34"/>
    <w:qFormat/>
    <w:rsid w:val="00330B27"/>
    <w:pPr>
      <w:ind w:left="720"/>
      <w:contextualSpacing/>
    </w:pPr>
  </w:style>
  <w:style w:type="paragraph" w:styleId="Caption">
    <w:name w:val="caption"/>
    <w:basedOn w:val="Normal"/>
    <w:next w:val="Normal"/>
    <w:uiPriority w:val="35"/>
    <w:unhideWhenUsed/>
    <w:qFormat/>
    <w:rsid w:val="006679AA"/>
    <w:pPr>
      <w:spacing w:after="200" w:line="240" w:lineRule="auto"/>
    </w:pPr>
    <w:rPr>
      <w:i/>
      <w:iCs/>
      <w:color w:val="44546A" w:themeColor="text2"/>
      <w:sz w:val="18"/>
      <w:szCs w:val="18"/>
    </w:rPr>
  </w:style>
  <w:style w:type="table" w:styleId="TableGrid">
    <w:name w:val="Table Grid"/>
    <w:basedOn w:val="TableNormal"/>
    <w:uiPriority w:val="39"/>
    <w:rsid w:val="009F3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s761">
    <w:name w:val="jss761"/>
    <w:basedOn w:val="DefaultParagraphFont"/>
    <w:rsid w:val="00B21F48"/>
  </w:style>
  <w:style w:type="character" w:styleId="Hyperlink">
    <w:name w:val="Hyperlink"/>
    <w:basedOn w:val="DefaultParagraphFont"/>
    <w:uiPriority w:val="99"/>
    <w:unhideWhenUsed/>
    <w:rsid w:val="007D2183"/>
    <w:rPr>
      <w:color w:val="0563C1" w:themeColor="hyperlink"/>
      <w:u w:val="single"/>
    </w:rPr>
  </w:style>
  <w:style w:type="character" w:styleId="UnresolvedMention">
    <w:name w:val="Unresolved Mention"/>
    <w:basedOn w:val="DefaultParagraphFont"/>
    <w:uiPriority w:val="99"/>
    <w:semiHidden/>
    <w:unhideWhenUsed/>
    <w:rsid w:val="007D2183"/>
    <w:rPr>
      <w:color w:val="605E5C"/>
      <w:shd w:val="clear" w:color="auto" w:fill="E1DFDD"/>
    </w:rPr>
  </w:style>
  <w:style w:type="paragraph" w:customStyle="1" w:styleId="root-block-node">
    <w:name w:val="root-block-node"/>
    <w:basedOn w:val="Normal"/>
    <w:rsid w:val="00C80A45"/>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Emphasis">
    <w:name w:val="Emphasis"/>
    <w:basedOn w:val="DefaultParagraphFont"/>
    <w:uiPriority w:val="20"/>
    <w:qFormat/>
    <w:rsid w:val="00196B8D"/>
    <w:rPr>
      <w:i/>
      <w:iCs/>
    </w:rPr>
  </w:style>
  <w:style w:type="character" w:styleId="Strong">
    <w:name w:val="Strong"/>
    <w:basedOn w:val="DefaultParagraphFont"/>
    <w:uiPriority w:val="22"/>
    <w:qFormat/>
    <w:rsid w:val="00B10A57"/>
    <w:rPr>
      <w:b/>
      <w:bCs/>
    </w:rPr>
  </w:style>
  <w:style w:type="character" w:customStyle="1" w:styleId="typographytypographycrpwo">
    <w:name w:val="typography_typography__crpwo"/>
    <w:basedOn w:val="DefaultParagraphFont"/>
    <w:rsid w:val="00391E63"/>
  </w:style>
  <w:style w:type="paragraph" w:styleId="NormalWeb">
    <w:name w:val="Normal (Web)"/>
    <w:basedOn w:val="Normal"/>
    <w:uiPriority w:val="99"/>
    <w:unhideWhenUsed/>
    <w:rsid w:val="00130708"/>
    <w:pPr>
      <w:spacing w:before="100" w:beforeAutospacing="1" w:after="100" w:afterAutospacing="1" w:line="240" w:lineRule="auto"/>
    </w:pPr>
    <w:rPr>
      <w:rFonts w:ascii="Times New Roman" w:eastAsia="Times New Roman" w:hAnsi="Times New Roman" w:cs="Times New Roman"/>
      <w:sz w:val="24"/>
      <w:szCs w:val="24"/>
      <w:lang w:eastAsia="en-ID"/>
    </w:rPr>
  </w:style>
  <w:style w:type="table" w:styleId="LightList-Accent1">
    <w:name w:val="Light List Accent 1"/>
    <w:basedOn w:val="TableNormal"/>
    <w:uiPriority w:val="61"/>
    <w:rsid w:val="00D04DE8"/>
    <w:pPr>
      <w:spacing w:after="0" w:line="240" w:lineRule="auto"/>
    </w:pPr>
    <w:rPr>
      <w:rFonts w:eastAsiaTheme="minorEastAsia"/>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Header">
    <w:name w:val="header"/>
    <w:basedOn w:val="Normal"/>
    <w:link w:val="HeaderChar"/>
    <w:uiPriority w:val="99"/>
    <w:unhideWhenUsed/>
    <w:rsid w:val="00CE58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852"/>
  </w:style>
  <w:style w:type="paragraph" w:styleId="Footer">
    <w:name w:val="footer"/>
    <w:basedOn w:val="Normal"/>
    <w:link w:val="FooterChar"/>
    <w:uiPriority w:val="99"/>
    <w:unhideWhenUsed/>
    <w:rsid w:val="00CE58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852"/>
  </w:style>
  <w:style w:type="character" w:styleId="CommentReference">
    <w:name w:val="annotation reference"/>
    <w:basedOn w:val="DefaultParagraphFont"/>
    <w:uiPriority w:val="99"/>
    <w:semiHidden/>
    <w:unhideWhenUsed/>
    <w:rsid w:val="00D467FF"/>
    <w:rPr>
      <w:sz w:val="16"/>
      <w:szCs w:val="16"/>
    </w:rPr>
  </w:style>
  <w:style w:type="paragraph" w:styleId="CommentText">
    <w:name w:val="annotation text"/>
    <w:basedOn w:val="Normal"/>
    <w:link w:val="CommentTextChar"/>
    <w:uiPriority w:val="99"/>
    <w:semiHidden/>
    <w:unhideWhenUsed/>
    <w:rsid w:val="00D467FF"/>
    <w:pPr>
      <w:spacing w:line="240" w:lineRule="auto"/>
    </w:pPr>
    <w:rPr>
      <w:sz w:val="20"/>
      <w:szCs w:val="20"/>
    </w:rPr>
  </w:style>
  <w:style w:type="character" w:customStyle="1" w:styleId="CommentTextChar">
    <w:name w:val="Comment Text Char"/>
    <w:basedOn w:val="DefaultParagraphFont"/>
    <w:link w:val="CommentText"/>
    <w:uiPriority w:val="99"/>
    <w:semiHidden/>
    <w:rsid w:val="00D467FF"/>
    <w:rPr>
      <w:sz w:val="20"/>
      <w:szCs w:val="20"/>
    </w:rPr>
  </w:style>
  <w:style w:type="paragraph" w:styleId="CommentSubject">
    <w:name w:val="annotation subject"/>
    <w:basedOn w:val="CommentText"/>
    <w:next w:val="CommentText"/>
    <w:link w:val="CommentSubjectChar"/>
    <w:uiPriority w:val="99"/>
    <w:semiHidden/>
    <w:unhideWhenUsed/>
    <w:rsid w:val="00D467FF"/>
    <w:rPr>
      <w:b/>
      <w:bCs/>
    </w:rPr>
  </w:style>
  <w:style w:type="character" w:customStyle="1" w:styleId="CommentSubjectChar">
    <w:name w:val="Comment Subject Char"/>
    <w:basedOn w:val="CommentTextChar"/>
    <w:link w:val="CommentSubject"/>
    <w:uiPriority w:val="99"/>
    <w:semiHidden/>
    <w:rsid w:val="00D467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416">
      <w:bodyDiv w:val="1"/>
      <w:marLeft w:val="0"/>
      <w:marRight w:val="0"/>
      <w:marTop w:val="0"/>
      <w:marBottom w:val="0"/>
      <w:divBdr>
        <w:top w:val="none" w:sz="0" w:space="0" w:color="auto"/>
        <w:left w:val="none" w:sz="0" w:space="0" w:color="auto"/>
        <w:bottom w:val="none" w:sz="0" w:space="0" w:color="auto"/>
        <w:right w:val="none" w:sz="0" w:space="0" w:color="auto"/>
      </w:divBdr>
    </w:div>
    <w:div w:id="35980098">
      <w:bodyDiv w:val="1"/>
      <w:marLeft w:val="0"/>
      <w:marRight w:val="0"/>
      <w:marTop w:val="0"/>
      <w:marBottom w:val="0"/>
      <w:divBdr>
        <w:top w:val="none" w:sz="0" w:space="0" w:color="auto"/>
        <w:left w:val="none" w:sz="0" w:space="0" w:color="auto"/>
        <w:bottom w:val="none" w:sz="0" w:space="0" w:color="auto"/>
        <w:right w:val="none" w:sz="0" w:space="0" w:color="auto"/>
      </w:divBdr>
    </w:div>
    <w:div w:id="63261734">
      <w:bodyDiv w:val="1"/>
      <w:marLeft w:val="0"/>
      <w:marRight w:val="0"/>
      <w:marTop w:val="0"/>
      <w:marBottom w:val="0"/>
      <w:divBdr>
        <w:top w:val="none" w:sz="0" w:space="0" w:color="auto"/>
        <w:left w:val="none" w:sz="0" w:space="0" w:color="auto"/>
        <w:bottom w:val="none" w:sz="0" w:space="0" w:color="auto"/>
        <w:right w:val="none" w:sz="0" w:space="0" w:color="auto"/>
      </w:divBdr>
    </w:div>
    <w:div w:id="66000391">
      <w:bodyDiv w:val="1"/>
      <w:marLeft w:val="0"/>
      <w:marRight w:val="0"/>
      <w:marTop w:val="0"/>
      <w:marBottom w:val="0"/>
      <w:divBdr>
        <w:top w:val="none" w:sz="0" w:space="0" w:color="auto"/>
        <w:left w:val="none" w:sz="0" w:space="0" w:color="auto"/>
        <w:bottom w:val="none" w:sz="0" w:space="0" w:color="auto"/>
        <w:right w:val="none" w:sz="0" w:space="0" w:color="auto"/>
      </w:divBdr>
    </w:div>
    <w:div w:id="67578031">
      <w:bodyDiv w:val="1"/>
      <w:marLeft w:val="0"/>
      <w:marRight w:val="0"/>
      <w:marTop w:val="0"/>
      <w:marBottom w:val="0"/>
      <w:divBdr>
        <w:top w:val="none" w:sz="0" w:space="0" w:color="auto"/>
        <w:left w:val="none" w:sz="0" w:space="0" w:color="auto"/>
        <w:bottom w:val="none" w:sz="0" w:space="0" w:color="auto"/>
        <w:right w:val="none" w:sz="0" w:space="0" w:color="auto"/>
      </w:divBdr>
      <w:divsChild>
        <w:div w:id="1417825529">
          <w:marLeft w:val="0"/>
          <w:marRight w:val="0"/>
          <w:marTop w:val="0"/>
          <w:marBottom w:val="0"/>
          <w:divBdr>
            <w:top w:val="none" w:sz="0" w:space="0" w:color="auto"/>
            <w:left w:val="none" w:sz="0" w:space="0" w:color="auto"/>
            <w:bottom w:val="none" w:sz="0" w:space="0" w:color="auto"/>
            <w:right w:val="none" w:sz="0" w:space="0" w:color="auto"/>
          </w:divBdr>
        </w:div>
        <w:div w:id="162744336">
          <w:marLeft w:val="0"/>
          <w:marRight w:val="0"/>
          <w:marTop w:val="0"/>
          <w:marBottom w:val="0"/>
          <w:divBdr>
            <w:top w:val="none" w:sz="0" w:space="0" w:color="auto"/>
            <w:left w:val="none" w:sz="0" w:space="0" w:color="auto"/>
            <w:bottom w:val="none" w:sz="0" w:space="0" w:color="auto"/>
            <w:right w:val="none" w:sz="0" w:space="0" w:color="auto"/>
          </w:divBdr>
        </w:div>
        <w:div w:id="692196820">
          <w:marLeft w:val="0"/>
          <w:marRight w:val="0"/>
          <w:marTop w:val="0"/>
          <w:marBottom w:val="0"/>
          <w:divBdr>
            <w:top w:val="none" w:sz="0" w:space="0" w:color="auto"/>
            <w:left w:val="none" w:sz="0" w:space="0" w:color="auto"/>
            <w:bottom w:val="none" w:sz="0" w:space="0" w:color="auto"/>
            <w:right w:val="none" w:sz="0" w:space="0" w:color="auto"/>
          </w:divBdr>
        </w:div>
        <w:div w:id="1793208505">
          <w:marLeft w:val="0"/>
          <w:marRight w:val="0"/>
          <w:marTop w:val="0"/>
          <w:marBottom w:val="0"/>
          <w:divBdr>
            <w:top w:val="none" w:sz="0" w:space="0" w:color="auto"/>
            <w:left w:val="none" w:sz="0" w:space="0" w:color="auto"/>
            <w:bottom w:val="none" w:sz="0" w:space="0" w:color="auto"/>
            <w:right w:val="none" w:sz="0" w:space="0" w:color="auto"/>
          </w:divBdr>
        </w:div>
        <w:div w:id="1309285318">
          <w:marLeft w:val="0"/>
          <w:marRight w:val="0"/>
          <w:marTop w:val="0"/>
          <w:marBottom w:val="0"/>
          <w:divBdr>
            <w:top w:val="none" w:sz="0" w:space="0" w:color="auto"/>
            <w:left w:val="none" w:sz="0" w:space="0" w:color="auto"/>
            <w:bottom w:val="none" w:sz="0" w:space="0" w:color="auto"/>
            <w:right w:val="none" w:sz="0" w:space="0" w:color="auto"/>
          </w:divBdr>
        </w:div>
      </w:divsChild>
    </w:div>
    <w:div w:id="111870223">
      <w:bodyDiv w:val="1"/>
      <w:marLeft w:val="0"/>
      <w:marRight w:val="0"/>
      <w:marTop w:val="0"/>
      <w:marBottom w:val="0"/>
      <w:divBdr>
        <w:top w:val="none" w:sz="0" w:space="0" w:color="auto"/>
        <w:left w:val="none" w:sz="0" w:space="0" w:color="auto"/>
        <w:bottom w:val="none" w:sz="0" w:space="0" w:color="auto"/>
        <w:right w:val="none" w:sz="0" w:space="0" w:color="auto"/>
      </w:divBdr>
    </w:div>
    <w:div w:id="116267710">
      <w:bodyDiv w:val="1"/>
      <w:marLeft w:val="0"/>
      <w:marRight w:val="0"/>
      <w:marTop w:val="0"/>
      <w:marBottom w:val="0"/>
      <w:divBdr>
        <w:top w:val="none" w:sz="0" w:space="0" w:color="auto"/>
        <w:left w:val="none" w:sz="0" w:space="0" w:color="auto"/>
        <w:bottom w:val="none" w:sz="0" w:space="0" w:color="auto"/>
        <w:right w:val="none" w:sz="0" w:space="0" w:color="auto"/>
      </w:divBdr>
      <w:divsChild>
        <w:div w:id="1307321658">
          <w:marLeft w:val="446"/>
          <w:marRight w:val="0"/>
          <w:marTop w:val="0"/>
          <w:marBottom w:val="0"/>
          <w:divBdr>
            <w:top w:val="none" w:sz="0" w:space="0" w:color="auto"/>
            <w:left w:val="none" w:sz="0" w:space="0" w:color="auto"/>
            <w:bottom w:val="none" w:sz="0" w:space="0" w:color="auto"/>
            <w:right w:val="none" w:sz="0" w:space="0" w:color="auto"/>
          </w:divBdr>
        </w:div>
        <w:div w:id="1455443373">
          <w:marLeft w:val="446"/>
          <w:marRight w:val="0"/>
          <w:marTop w:val="0"/>
          <w:marBottom w:val="0"/>
          <w:divBdr>
            <w:top w:val="none" w:sz="0" w:space="0" w:color="auto"/>
            <w:left w:val="none" w:sz="0" w:space="0" w:color="auto"/>
            <w:bottom w:val="none" w:sz="0" w:space="0" w:color="auto"/>
            <w:right w:val="none" w:sz="0" w:space="0" w:color="auto"/>
          </w:divBdr>
        </w:div>
      </w:divsChild>
    </w:div>
    <w:div w:id="120462975">
      <w:bodyDiv w:val="1"/>
      <w:marLeft w:val="0"/>
      <w:marRight w:val="0"/>
      <w:marTop w:val="0"/>
      <w:marBottom w:val="0"/>
      <w:divBdr>
        <w:top w:val="none" w:sz="0" w:space="0" w:color="auto"/>
        <w:left w:val="none" w:sz="0" w:space="0" w:color="auto"/>
        <w:bottom w:val="none" w:sz="0" w:space="0" w:color="auto"/>
        <w:right w:val="none" w:sz="0" w:space="0" w:color="auto"/>
      </w:divBdr>
    </w:div>
    <w:div w:id="171799890">
      <w:bodyDiv w:val="1"/>
      <w:marLeft w:val="0"/>
      <w:marRight w:val="0"/>
      <w:marTop w:val="0"/>
      <w:marBottom w:val="0"/>
      <w:divBdr>
        <w:top w:val="none" w:sz="0" w:space="0" w:color="auto"/>
        <w:left w:val="none" w:sz="0" w:space="0" w:color="auto"/>
        <w:bottom w:val="none" w:sz="0" w:space="0" w:color="auto"/>
        <w:right w:val="none" w:sz="0" w:space="0" w:color="auto"/>
      </w:divBdr>
    </w:div>
    <w:div w:id="183985239">
      <w:bodyDiv w:val="1"/>
      <w:marLeft w:val="0"/>
      <w:marRight w:val="0"/>
      <w:marTop w:val="0"/>
      <w:marBottom w:val="0"/>
      <w:divBdr>
        <w:top w:val="none" w:sz="0" w:space="0" w:color="auto"/>
        <w:left w:val="none" w:sz="0" w:space="0" w:color="auto"/>
        <w:bottom w:val="none" w:sz="0" w:space="0" w:color="auto"/>
        <w:right w:val="none" w:sz="0" w:space="0" w:color="auto"/>
      </w:divBdr>
    </w:div>
    <w:div w:id="263806011">
      <w:bodyDiv w:val="1"/>
      <w:marLeft w:val="0"/>
      <w:marRight w:val="0"/>
      <w:marTop w:val="0"/>
      <w:marBottom w:val="0"/>
      <w:divBdr>
        <w:top w:val="none" w:sz="0" w:space="0" w:color="auto"/>
        <w:left w:val="none" w:sz="0" w:space="0" w:color="auto"/>
        <w:bottom w:val="none" w:sz="0" w:space="0" w:color="auto"/>
        <w:right w:val="none" w:sz="0" w:space="0" w:color="auto"/>
      </w:divBdr>
    </w:div>
    <w:div w:id="300311394">
      <w:bodyDiv w:val="1"/>
      <w:marLeft w:val="0"/>
      <w:marRight w:val="0"/>
      <w:marTop w:val="0"/>
      <w:marBottom w:val="0"/>
      <w:divBdr>
        <w:top w:val="none" w:sz="0" w:space="0" w:color="auto"/>
        <w:left w:val="none" w:sz="0" w:space="0" w:color="auto"/>
        <w:bottom w:val="none" w:sz="0" w:space="0" w:color="auto"/>
        <w:right w:val="none" w:sz="0" w:space="0" w:color="auto"/>
      </w:divBdr>
    </w:div>
    <w:div w:id="362637421">
      <w:bodyDiv w:val="1"/>
      <w:marLeft w:val="0"/>
      <w:marRight w:val="0"/>
      <w:marTop w:val="0"/>
      <w:marBottom w:val="0"/>
      <w:divBdr>
        <w:top w:val="none" w:sz="0" w:space="0" w:color="auto"/>
        <w:left w:val="none" w:sz="0" w:space="0" w:color="auto"/>
        <w:bottom w:val="none" w:sz="0" w:space="0" w:color="auto"/>
        <w:right w:val="none" w:sz="0" w:space="0" w:color="auto"/>
      </w:divBdr>
    </w:div>
    <w:div w:id="392235308">
      <w:bodyDiv w:val="1"/>
      <w:marLeft w:val="0"/>
      <w:marRight w:val="0"/>
      <w:marTop w:val="0"/>
      <w:marBottom w:val="0"/>
      <w:divBdr>
        <w:top w:val="none" w:sz="0" w:space="0" w:color="auto"/>
        <w:left w:val="none" w:sz="0" w:space="0" w:color="auto"/>
        <w:bottom w:val="none" w:sz="0" w:space="0" w:color="auto"/>
        <w:right w:val="none" w:sz="0" w:space="0" w:color="auto"/>
      </w:divBdr>
      <w:divsChild>
        <w:div w:id="656882809">
          <w:marLeft w:val="547"/>
          <w:marRight w:val="0"/>
          <w:marTop w:val="0"/>
          <w:marBottom w:val="0"/>
          <w:divBdr>
            <w:top w:val="none" w:sz="0" w:space="0" w:color="auto"/>
            <w:left w:val="none" w:sz="0" w:space="0" w:color="auto"/>
            <w:bottom w:val="none" w:sz="0" w:space="0" w:color="auto"/>
            <w:right w:val="none" w:sz="0" w:space="0" w:color="auto"/>
          </w:divBdr>
        </w:div>
      </w:divsChild>
    </w:div>
    <w:div w:id="400106360">
      <w:bodyDiv w:val="1"/>
      <w:marLeft w:val="0"/>
      <w:marRight w:val="0"/>
      <w:marTop w:val="0"/>
      <w:marBottom w:val="0"/>
      <w:divBdr>
        <w:top w:val="none" w:sz="0" w:space="0" w:color="auto"/>
        <w:left w:val="none" w:sz="0" w:space="0" w:color="auto"/>
        <w:bottom w:val="none" w:sz="0" w:space="0" w:color="auto"/>
        <w:right w:val="none" w:sz="0" w:space="0" w:color="auto"/>
      </w:divBdr>
    </w:div>
    <w:div w:id="427628442">
      <w:bodyDiv w:val="1"/>
      <w:marLeft w:val="0"/>
      <w:marRight w:val="0"/>
      <w:marTop w:val="0"/>
      <w:marBottom w:val="0"/>
      <w:divBdr>
        <w:top w:val="none" w:sz="0" w:space="0" w:color="auto"/>
        <w:left w:val="none" w:sz="0" w:space="0" w:color="auto"/>
        <w:bottom w:val="none" w:sz="0" w:space="0" w:color="auto"/>
        <w:right w:val="none" w:sz="0" w:space="0" w:color="auto"/>
      </w:divBdr>
    </w:div>
    <w:div w:id="476915455">
      <w:bodyDiv w:val="1"/>
      <w:marLeft w:val="0"/>
      <w:marRight w:val="0"/>
      <w:marTop w:val="0"/>
      <w:marBottom w:val="0"/>
      <w:divBdr>
        <w:top w:val="none" w:sz="0" w:space="0" w:color="auto"/>
        <w:left w:val="none" w:sz="0" w:space="0" w:color="auto"/>
        <w:bottom w:val="none" w:sz="0" w:space="0" w:color="auto"/>
        <w:right w:val="none" w:sz="0" w:space="0" w:color="auto"/>
      </w:divBdr>
    </w:div>
    <w:div w:id="548957042">
      <w:bodyDiv w:val="1"/>
      <w:marLeft w:val="0"/>
      <w:marRight w:val="0"/>
      <w:marTop w:val="0"/>
      <w:marBottom w:val="0"/>
      <w:divBdr>
        <w:top w:val="none" w:sz="0" w:space="0" w:color="auto"/>
        <w:left w:val="none" w:sz="0" w:space="0" w:color="auto"/>
        <w:bottom w:val="none" w:sz="0" w:space="0" w:color="auto"/>
        <w:right w:val="none" w:sz="0" w:space="0" w:color="auto"/>
      </w:divBdr>
    </w:div>
    <w:div w:id="588468686">
      <w:bodyDiv w:val="1"/>
      <w:marLeft w:val="0"/>
      <w:marRight w:val="0"/>
      <w:marTop w:val="0"/>
      <w:marBottom w:val="0"/>
      <w:divBdr>
        <w:top w:val="none" w:sz="0" w:space="0" w:color="auto"/>
        <w:left w:val="none" w:sz="0" w:space="0" w:color="auto"/>
        <w:bottom w:val="none" w:sz="0" w:space="0" w:color="auto"/>
        <w:right w:val="none" w:sz="0" w:space="0" w:color="auto"/>
      </w:divBdr>
    </w:div>
    <w:div w:id="620964542">
      <w:bodyDiv w:val="1"/>
      <w:marLeft w:val="0"/>
      <w:marRight w:val="0"/>
      <w:marTop w:val="0"/>
      <w:marBottom w:val="0"/>
      <w:divBdr>
        <w:top w:val="none" w:sz="0" w:space="0" w:color="auto"/>
        <w:left w:val="none" w:sz="0" w:space="0" w:color="auto"/>
        <w:bottom w:val="none" w:sz="0" w:space="0" w:color="auto"/>
        <w:right w:val="none" w:sz="0" w:space="0" w:color="auto"/>
      </w:divBdr>
    </w:div>
    <w:div w:id="747505478">
      <w:bodyDiv w:val="1"/>
      <w:marLeft w:val="0"/>
      <w:marRight w:val="0"/>
      <w:marTop w:val="0"/>
      <w:marBottom w:val="0"/>
      <w:divBdr>
        <w:top w:val="none" w:sz="0" w:space="0" w:color="auto"/>
        <w:left w:val="none" w:sz="0" w:space="0" w:color="auto"/>
        <w:bottom w:val="none" w:sz="0" w:space="0" w:color="auto"/>
        <w:right w:val="none" w:sz="0" w:space="0" w:color="auto"/>
      </w:divBdr>
    </w:div>
    <w:div w:id="841553643">
      <w:bodyDiv w:val="1"/>
      <w:marLeft w:val="0"/>
      <w:marRight w:val="0"/>
      <w:marTop w:val="0"/>
      <w:marBottom w:val="0"/>
      <w:divBdr>
        <w:top w:val="none" w:sz="0" w:space="0" w:color="auto"/>
        <w:left w:val="none" w:sz="0" w:space="0" w:color="auto"/>
        <w:bottom w:val="none" w:sz="0" w:space="0" w:color="auto"/>
        <w:right w:val="none" w:sz="0" w:space="0" w:color="auto"/>
      </w:divBdr>
    </w:div>
    <w:div w:id="859273253">
      <w:bodyDiv w:val="1"/>
      <w:marLeft w:val="0"/>
      <w:marRight w:val="0"/>
      <w:marTop w:val="0"/>
      <w:marBottom w:val="0"/>
      <w:divBdr>
        <w:top w:val="none" w:sz="0" w:space="0" w:color="auto"/>
        <w:left w:val="none" w:sz="0" w:space="0" w:color="auto"/>
        <w:bottom w:val="none" w:sz="0" w:space="0" w:color="auto"/>
        <w:right w:val="none" w:sz="0" w:space="0" w:color="auto"/>
      </w:divBdr>
    </w:div>
    <w:div w:id="883954560">
      <w:bodyDiv w:val="1"/>
      <w:marLeft w:val="0"/>
      <w:marRight w:val="0"/>
      <w:marTop w:val="0"/>
      <w:marBottom w:val="0"/>
      <w:divBdr>
        <w:top w:val="none" w:sz="0" w:space="0" w:color="auto"/>
        <w:left w:val="none" w:sz="0" w:space="0" w:color="auto"/>
        <w:bottom w:val="none" w:sz="0" w:space="0" w:color="auto"/>
        <w:right w:val="none" w:sz="0" w:space="0" w:color="auto"/>
      </w:divBdr>
    </w:div>
    <w:div w:id="889876413">
      <w:bodyDiv w:val="1"/>
      <w:marLeft w:val="0"/>
      <w:marRight w:val="0"/>
      <w:marTop w:val="0"/>
      <w:marBottom w:val="0"/>
      <w:divBdr>
        <w:top w:val="none" w:sz="0" w:space="0" w:color="auto"/>
        <w:left w:val="none" w:sz="0" w:space="0" w:color="auto"/>
        <w:bottom w:val="none" w:sz="0" w:space="0" w:color="auto"/>
        <w:right w:val="none" w:sz="0" w:space="0" w:color="auto"/>
      </w:divBdr>
    </w:div>
    <w:div w:id="938219643">
      <w:bodyDiv w:val="1"/>
      <w:marLeft w:val="0"/>
      <w:marRight w:val="0"/>
      <w:marTop w:val="0"/>
      <w:marBottom w:val="0"/>
      <w:divBdr>
        <w:top w:val="none" w:sz="0" w:space="0" w:color="auto"/>
        <w:left w:val="none" w:sz="0" w:space="0" w:color="auto"/>
        <w:bottom w:val="none" w:sz="0" w:space="0" w:color="auto"/>
        <w:right w:val="none" w:sz="0" w:space="0" w:color="auto"/>
      </w:divBdr>
      <w:divsChild>
        <w:div w:id="974990393">
          <w:marLeft w:val="0"/>
          <w:marRight w:val="0"/>
          <w:marTop w:val="0"/>
          <w:marBottom w:val="0"/>
          <w:divBdr>
            <w:top w:val="none" w:sz="0" w:space="0" w:color="auto"/>
            <w:left w:val="none" w:sz="0" w:space="0" w:color="auto"/>
            <w:bottom w:val="none" w:sz="0" w:space="0" w:color="auto"/>
            <w:right w:val="none" w:sz="0" w:space="0" w:color="auto"/>
          </w:divBdr>
        </w:div>
        <w:div w:id="285743483">
          <w:marLeft w:val="0"/>
          <w:marRight w:val="0"/>
          <w:marTop w:val="0"/>
          <w:marBottom w:val="0"/>
          <w:divBdr>
            <w:top w:val="none" w:sz="0" w:space="0" w:color="auto"/>
            <w:left w:val="none" w:sz="0" w:space="0" w:color="auto"/>
            <w:bottom w:val="none" w:sz="0" w:space="0" w:color="auto"/>
            <w:right w:val="none" w:sz="0" w:space="0" w:color="auto"/>
          </w:divBdr>
        </w:div>
        <w:div w:id="403994648">
          <w:marLeft w:val="0"/>
          <w:marRight w:val="0"/>
          <w:marTop w:val="0"/>
          <w:marBottom w:val="0"/>
          <w:divBdr>
            <w:top w:val="none" w:sz="0" w:space="0" w:color="auto"/>
            <w:left w:val="none" w:sz="0" w:space="0" w:color="auto"/>
            <w:bottom w:val="none" w:sz="0" w:space="0" w:color="auto"/>
            <w:right w:val="none" w:sz="0" w:space="0" w:color="auto"/>
          </w:divBdr>
        </w:div>
        <w:div w:id="1679307920">
          <w:marLeft w:val="0"/>
          <w:marRight w:val="0"/>
          <w:marTop w:val="0"/>
          <w:marBottom w:val="0"/>
          <w:divBdr>
            <w:top w:val="none" w:sz="0" w:space="0" w:color="auto"/>
            <w:left w:val="none" w:sz="0" w:space="0" w:color="auto"/>
            <w:bottom w:val="none" w:sz="0" w:space="0" w:color="auto"/>
            <w:right w:val="none" w:sz="0" w:space="0" w:color="auto"/>
          </w:divBdr>
        </w:div>
        <w:div w:id="453406245">
          <w:marLeft w:val="0"/>
          <w:marRight w:val="0"/>
          <w:marTop w:val="0"/>
          <w:marBottom w:val="0"/>
          <w:divBdr>
            <w:top w:val="none" w:sz="0" w:space="0" w:color="auto"/>
            <w:left w:val="none" w:sz="0" w:space="0" w:color="auto"/>
            <w:bottom w:val="none" w:sz="0" w:space="0" w:color="auto"/>
            <w:right w:val="none" w:sz="0" w:space="0" w:color="auto"/>
          </w:divBdr>
        </w:div>
      </w:divsChild>
    </w:div>
    <w:div w:id="942879183">
      <w:bodyDiv w:val="1"/>
      <w:marLeft w:val="0"/>
      <w:marRight w:val="0"/>
      <w:marTop w:val="0"/>
      <w:marBottom w:val="0"/>
      <w:divBdr>
        <w:top w:val="none" w:sz="0" w:space="0" w:color="auto"/>
        <w:left w:val="none" w:sz="0" w:space="0" w:color="auto"/>
        <w:bottom w:val="none" w:sz="0" w:space="0" w:color="auto"/>
        <w:right w:val="none" w:sz="0" w:space="0" w:color="auto"/>
      </w:divBdr>
    </w:div>
    <w:div w:id="964846109">
      <w:bodyDiv w:val="1"/>
      <w:marLeft w:val="0"/>
      <w:marRight w:val="0"/>
      <w:marTop w:val="0"/>
      <w:marBottom w:val="0"/>
      <w:divBdr>
        <w:top w:val="none" w:sz="0" w:space="0" w:color="auto"/>
        <w:left w:val="none" w:sz="0" w:space="0" w:color="auto"/>
        <w:bottom w:val="none" w:sz="0" w:space="0" w:color="auto"/>
        <w:right w:val="none" w:sz="0" w:space="0" w:color="auto"/>
      </w:divBdr>
    </w:div>
    <w:div w:id="983192569">
      <w:bodyDiv w:val="1"/>
      <w:marLeft w:val="0"/>
      <w:marRight w:val="0"/>
      <w:marTop w:val="0"/>
      <w:marBottom w:val="0"/>
      <w:divBdr>
        <w:top w:val="none" w:sz="0" w:space="0" w:color="auto"/>
        <w:left w:val="none" w:sz="0" w:space="0" w:color="auto"/>
        <w:bottom w:val="none" w:sz="0" w:space="0" w:color="auto"/>
        <w:right w:val="none" w:sz="0" w:space="0" w:color="auto"/>
      </w:divBdr>
    </w:div>
    <w:div w:id="994337096">
      <w:bodyDiv w:val="1"/>
      <w:marLeft w:val="0"/>
      <w:marRight w:val="0"/>
      <w:marTop w:val="0"/>
      <w:marBottom w:val="0"/>
      <w:divBdr>
        <w:top w:val="none" w:sz="0" w:space="0" w:color="auto"/>
        <w:left w:val="none" w:sz="0" w:space="0" w:color="auto"/>
        <w:bottom w:val="none" w:sz="0" w:space="0" w:color="auto"/>
        <w:right w:val="none" w:sz="0" w:space="0" w:color="auto"/>
      </w:divBdr>
    </w:div>
    <w:div w:id="997851300">
      <w:bodyDiv w:val="1"/>
      <w:marLeft w:val="0"/>
      <w:marRight w:val="0"/>
      <w:marTop w:val="0"/>
      <w:marBottom w:val="0"/>
      <w:divBdr>
        <w:top w:val="none" w:sz="0" w:space="0" w:color="auto"/>
        <w:left w:val="none" w:sz="0" w:space="0" w:color="auto"/>
        <w:bottom w:val="none" w:sz="0" w:space="0" w:color="auto"/>
        <w:right w:val="none" w:sz="0" w:space="0" w:color="auto"/>
      </w:divBdr>
    </w:div>
    <w:div w:id="1016619523">
      <w:bodyDiv w:val="1"/>
      <w:marLeft w:val="0"/>
      <w:marRight w:val="0"/>
      <w:marTop w:val="0"/>
      <w:marBottom w:val="0"/>
      <w:divBdr>
        <w:top w:val="none" w:sz="0" w:space="0" w:color="auto"/>
        <w:left w:val="none" w:sz="0" w:space="0" w:color="auto"/>
        <w:bottom w:val="none" w:sz="0" w:space="0" w:color="auto"/>
        <w:right w:val="none" w:sz="0" w:space="0" w:color="auto"/>
      </w:divBdr>
    </w:div>
    <w:div w:id="1053578378">
      <w:bodyDiv w:val="1"/>
      <w:marLeft w:val="0"/>
      <w:marRight w:val="0"/>
      <w:marTop w:val="0"/>
      <w:marBottom w:val="0"/>
      <w:divBdr>
        <w:top w:val="none" w:sz="0" w:space="0" w:color="auto"/>
        <w:left w:val="none" w:sz="0" w:space="0" w:color="auto"/>
        <w:bottom w:val="none" w:sz="0" w:space="0" w:color="auto"/>
        <w:right w:val="none" w:sz="0" w:space="0" w:color="auto"/>
      </w:divBdr>
    </w:div>
    <w:div w:id="1060976792">
      <w:bodyDiv w:val="1"/>
      <w:marLeft w:val="0"/>
      <w:marRight w:val="0"/>
      <w:marTop w:val="0"/>
      <w:marBottom w:val="0"/>
      <w:divBdr>
        <w:top w:val="none" w:sz="0" w:space="0" w:color="auto"/>
        <w:left w:val="none" w:sz="0" w:space="0" w:color="auto"/>
        <w:bottom w:val="none" w:sz="0" w:space="0" w:color="auto"/>
        <w:right w:val="none" w:sz="0" w:space="0" w:color="auto"/>
      </w:divBdr>
      <w:divsChild>
        <w:div w:id="808010508">
          <w:marLeft w:val="547"/>
          <w:marRight w:val="0"/>
          <w:marTop w:val="0"/>
          <w:marBottom w:val="0"/>
          <w:divBdr>
            <w:top w:val="none" w:sz="0" w:space="0" w:color="auto"/>
            <w:left w:val="none" w:sz="0" w:space="0" w:color="auto"/>
            <w:bottom w:val="none" w:sz="0" w:space="0" w:color="auto"/>
            <w:right w:val="none" w:sz="0" w:space="0" w:color="auto"/>
          </w:divBdr>
        </w:div>
      </w:divsChild>
    </w:div>
    <w:div w:id="1142620438">
      <w:bodyDiv w:val="1"/>
      <w:marLeft w:val="0"/>
      <w:marRight w:val="0"/>
      <w:marTop w:val="0"/>
      <w:marBottom w:val="0"/>
      <w:divBdr>
        <w:top w:val="none" w:sz="0" w:space="0" w:color="auto"/>
        <w:left w:val="none" w:sz="0" w:space="0" w:color="auto"/>
        <w:bottom w:val="none" w:sz="0" w:space="0" w:color="auto"/>
        <w:right w:val="none" w:sz="0" w:space="0" w:color="auto"/>
      </w:divBdr>
      <w:divsChild>
        <w:div w:id="879130310">
          <w:marLeft w:val="547"/>
          <w:marRight w:val="0"/>
          <w:marTop w:val="0"/>
          <w:marBottom w:val="0"/>
          <w:divBdr>
            <w:top w:val="none" w:sz="0" w:space="0" w:color="auto"/>
            <w:left w:val="none" w:sz="0" w:space="0" w:color="auto"/>
            <w:bottom w:val="none" w:sz="0" w:space="0" w:color="auto"/>
            <w:right w:val="none" w:sz="0" w:space="0" w:color="auto"/>
          </w:divBdr>
        </w:div>
      </w:divsChild>
    </w:div>
    <w:div w:id="1185746506">
      <w:bodyDiv w:val="1"/>
      <w:marLeft w:val="0"/>
      <w:marRight w:val="0"/>
      <w:marTop w:val="0"/>
      <w:marBottom w:val="0"/>
      <w:divBdr>
        <w:top w:val="none" w:sz="0" w:space="0" w:color="auto"/>
        <w:left w:val="none" w:sz="0" w:space="0" w:color="auto"/>
        <w:bottom w:val="none" w:sz="0" w:space="0" w:color="auto"/>
        <w:right w:val="none" w:sz="0" w:space="0" w:color="auto"/>
      </w:divBdr>
    </w:div>
    <w:div w:id="1193492615">
      <w:bodyDiv w:val="1"/>
      <w:marLeft w:val="0"/>
      <w:marRight w:val="0"/>
      <w:marTop w:val="0"/>
      <w:marBottom w:val="0"/>
      <w:divBdr>
        <w:top w:val="none" w:sz="0" w:space="0" w:color="auto"/>
        <w:left w:val="none" w:sz="0" w:space="0" w:color="auto"/>
        <w:bottom w:val="none" w:sz="0" w:space="0" w:color="auto"/>
        <w:right w:val="none" w:sz="0" w:space="0" w:color="auto"/>
      </w:divBdr>
    </w:div>
    <w:div w:id="1322660589">
      <w:bodyDiv w:val="1"/>
      <w:marLeft w:val="0"/>
      <w:marRight w:val="0"/>
      <w:marTop w:val="0"/>
      <w:marBottom w:val="0"/>
      <w:divBdr>
        <w:top w:val="none" w:sz="0" w:space="0" w:color="auto"/>
        <w:left w:val="none" w:sz="0" w:space="0" w:color="auto"/>
        <w:bottom w:val="none" w:sz="0" w:space="0" w:color="auto"/>
        <w:right w:val="none" w:sz="0" w:space="0" w:color="auto"/>
      </w:divBdr>
    </w:div>
    <w:div w:id="1340352713">
      <w:bodyDiv w:val="1"/>
      <w:marLeft w:val="0"/>
      <w:marRight w:val="0"/>
      <w:marTop w:val="0"/>
      <w:marBottom w:val="0"/>
      <w:divBdr>
        <w:top w:val="none" w:sz="0" w:space="0" w:color="auto"/>
        <w:left w:val="none" w:sz="0" w:space="0" w:color="auto"/>
        <w:bottom w:val="none" w:sz="0" w:space="0" w:color="auto"/>
        <w:right w:val="none" w:sz="0" w:space="0" w:color="auto"/>
      </w:divBdr>
      <w:divsChild>
        <w:div w:id="893614564">
          <w:marLeft w:val="547"/>
          <w:marRight w:val="0"/>
          <w:marTop w:val="0"/>
          <w:marBottom w:val="0"/>
          <w:divBdr>
            <w:top w:val="none" w:sz="0" w:space="0" w:color="auto"/>
            <w:left w:val="none" w:sz="0" w:space="0" w:color="auto"/>
            <w:bottom w:val="none" w:sz="0" w:space="0" w:color="auto"/>
            <w:right w:val="none" w:sz="0" w:space="0" w:color="auto"/>
          </w:divBdr>
        </w:div>
      </w:divsChild>
    </w:div>
    <w:div w:id="1360736022">
      <w:bodyDiv w:val="1"/>
      <w:marLeft w:val="0"/>
      <w:marRight w:val="0"/>
      <w:marTop w:val="0"/>
      <w:marBottom w:val="0"/>
      <w:divBdr>
        <w:top w:val="none" w:sz="0" w:space="0" w:color="auto"/>
        <w:left w:val="none" w:sz="0" w:space="0" w:color="auto"/>
        <w:bottom w:val="none" w:sz="0" w:space="0" w:color="auto"/>
        <w:right w:val="none" w:sz="0" w:space="0" w:color="auto"/>
      </w:divBdr>
    </w:div>
    <w:div w:id="1428698574">
      <w:bodyDiv w:val="1"/>
      <w:marLeft w:val="0"/>
      <w:marRight w:val="0"/>
      <w:marTop w:val="0"/>
      <w:marBottom w:val="0"/>
      <w:divBdr>
        <w:top w:val="none" w:sz="0" w:space="0" w:color="auto"/>
        <w:left w:val="none" w:sz="0" w:space="0" w:color="auto"/>
        <w:bottom w:val="none" w:sz="0" w:space="0" w:color="auto"/>
        <w:right w:val="none" w:sz="0" w:space="0" w:color="auto"/>
      </w:divBdr>
    </w:div>
    <w:div w:id="1517497342">
      <w:bodyDiv w:val="1"/>
      <w:marLeft w:val="0"/>
      <w:marRight w:val="0"/>
      <w:marTop w:val="0"/>
      <w:marBottom w:val="0"/>
      <w:divBdr>
        <w:top w:val="none" w:sz="0" w:space="0" w:color="auto"/>
        <w:left w:val="none" w:sz="0" w:space="0" w:color="auto"/>
        <w:bottom w:val="none" w:sz="0" w:space="0" w:color="auto"/>
        <w:right w:val="none" w:sz="0" w:space="0" w:color="auto"/>
      </w:divBdr>
    </w:div>
    <w:div w:id="1607537409">
      <w:bodyDiv w:val="1"/>
      <w:marLeft w:val="0"/>
      <w:marRight w:val="0"/>
      <w:marTop w:val="0"/>
      <w:marBottom w:val="0"/>
      <w:divBdr>
        <w:top w:val="none" w:sz="0" w:space="0" w:color="auto"/>
        <w:left w:val="none" w:sz="0" w:space="0" w:color="auto"/>
        <w:bottom w:val="none" w:sz="0" w:space="0" w:color="auto"/>
        <w:right w:val="none" w:sz="0" w:space="0" w:color="auto"/>
      </w:divBdr>
    </w:div>
    <w:div w:id="1623150378">
      <w:bodyDiv w:val="1"/>
      <w:marLeft w:val="0"/>
      <w:marRight w:val="0"/>
      <w:marTop w:val="0"/>
      <w:marBottom w:val="0"/>
      <w:divBdr>
        <w:top w:val="none" w:sz="0" w:space="0" w:color="auto"/>
        <w:left w:val="none" w:sz="0" w:space="0" w:color="auto"/>
        <w:bottom w:val="none" w:sz="0" w:space="0" w:color="auto"/>
        <w:right w:val="none" w:sz="0" w:space="0" w:color="auto"/>
      </w:divBdr>
    </w:div>
    <w:div w:id="1642809120">
      <w:bodyDiv w:val="1"/>
      <w:marLeft w:val="0"/>
      <w:marRight w:val="0"/>
      <w:marTop w:val="0"/>
      <w:marBottom w:val="0"/>
      <w:divBdr>
        <w:top w:val="none" w:sz="0" w:space="0" w:color="auto"/>
        <w:left w:val="none" w:sz="0" w:space="0" w:color="auto"/>
        <w:bottom w:val="none" w:sz="0" w:space="0" w:color="auto"/>
        <w:right w:val="none" w:sz="0" w:space="0" w:color="auto"/>
      </w:divBdr>
    </w:div>
    <w:div w:id="1666590486">
      <w:bodyDiv w:val="1"/>
      <w:marLeft w:val="0"/>
      <w:marRight w:val="0"/>
      <w:marTop w:val="0"/>
      <w:marBottom w:val="0"/>
      <w:divBdr>
        <w:top w:val="none" w:sz="0" w:space="0" w:color="auto"/>
        <w:left w:val="none" w:sz="0" w:space="0" w:color="auto"/>
        <w:bottom w:val="none" w:sz="0" w:space="0" w:color="auto"/>
        <w:right w:val="none" w:sz="0" w:space="0" w:color="auto"/>
      </w:divBdr>
    </w:div>
    <w:div w:id="1681540545">
      <w:bodyDiv w:val="1"/>
      <w:marLeft w:val="0"/>
      <w:marRight w:val="0"/>
      <w:marTop w:val="0"/>
      <w:marBottom w:val="0"/>
      <w:divBdr>
        <w:top w:val="none" w:sz="0" w:space="0" w:color="auto"/>
        <w:left w:val="none" w:sz="0" w:space="0" w:color="auto"/>
        <w:bottom w:val="none" w:sz="0" w:space="0" w:color="auto"/>
        <w:right w:val="none" w:sz="0" w:space="0" w:color="auto"/>
      </w:divBdr>
    </w:div>
    <w:div w:id="1693722447">
      <w:bodyDiv w:val="1"/>
      <w:marLeft w:val="0"/>
      <w:marRight w:val="0"/>
      <w:marTop w:val="0"/>
      <w:marBottom w:val="0"/>
      <w:divBdr>
        <w:top w:val="none" w:sz="0" w:space="0" w:color="auto"/>
        <w:left w:val="none" w:sz="0" w:space="0" w:color="auto"/>
        <w:bottom w:val="none" w:sz="0" w:space="0" w:color="auto"/>
        <w:right w:val="none" w:sz="0" w:space="0" w:color="auto"/>
      </w:divBdr>
    </w:div>
    <w:div w:id="1694186831">
      <w:bodyDiv w:val="1"/>
      <w:marLeft w:val="0"/>
      <w:marRight w:val="0"/>
      <w:marTop w:val="0"/>
      <w:marBottom w:val="0"/>
      <w:divBdr>
        <w:top w:val="none" w:sz="0" w:space="0" w:color="auto"/>
        <w:left w:val="none" w:sz="0" w:space="0" w:color="auto"/>
        <w:bottom w:val="none" w:sz="0" w:space="0" w:color="auto"/>
        <w:right w:val="none" w:sz="0" w:space="0" w:color="auto"/>
      </w:divBdr>
      <w:divsChild>
        <w:div w:id="1983541045">
          <w:marLeft w:val="547"/>
          <w:marRight w:val="0"/>
          <w:marTop w:val="0"/>
          <w:marBottom w:val="0"/>
          <w:divBdr>
            <w:top w:val="none" w:sz="0" w:space="0" w:color="auto"/>
            <w:left w:val="none" w:sz="0" w:space="0" w:color="auto"/>
            <w:bottom w:val="none" w:sz="0" w:space="0" w:color="auto"/>
            <w:right w:val="none" w:sz="0" w:space="0" w:color="auto"/>
          </w:divBdr>
        </w:div>
      </w:divsChild>
    </w:div>
    <w:div w:id="1787457717">
      <w:bodyDiv w:val="1"/>
      <w:marLeft w:val="0"/>
      <w:marRight w:val="0"/>
      <w:marTop w:val="0"/>
      <w:marBottom w:val="0"/>
      <w:divBdr>
        <w:top w:val="none" w:sz="0" w:space="0" w:color="auto"/>
        <w:left w:val="none" w:sz="0" w:space="0" w:color="auto"/>
        <w:bottom w:val="none" w:sz="0" w:space="0" w:color="auto"/>
        <w:right w:val="none" w:sz="0" w:space="0" w:color="auto"/>
      </w:divBdr>
    </w:div>
    <w:div w:id="1855222810">
      <w:bodyDiv w:val="1"/>
      <w:marLeft w:val="0"/>
      <w:marRight w:val="0"/>
      <w:marTop w:val="0"/>
      <w:marBottom w:val="0"/>
      <w:divBdr>
        <w:top w:val="none" w:sz="0" w:space="0" w:color="auto"/>
        <w:left w:val="none" w:sz="0" w:space="0" w:color="auto"/>
        <w:bottom w:val="none" w:sz="0" w:space="0" w:color="auto"/>
        <w:right w:val="none" w:sz="0" w:space="0" w:color="auto"/>
      </w:divBdr>
      <w:divsChild>
        <w:div w:id="2142842576">
          <w:marLeft w:val="547"/>
          <w:marRight w:val="0"/>
          <w:marTop w:val="0"/>
          <w:marBottom w:val="0"/>
          <w:divBdr>
            <w:top w:val="none" w:sz="0" w:space="0" w:color="auto"/>
            <w:left w:val="none" w:sz="0" w:space="0" w:color="auto"/>
            <w:bottom w:val="none" w:sz="0" w:space="0" w:color="auto"/>
            <w:right w:val="none" w:sz="0" w:space="0" w:color="auto"/>
          </w:divBdr>
        </w:div>
      </w:divsChild>
    </w:div>
    <w:div w:id="1858883321">
      <w:bodyDiv w:val="1"/>
      <w:marLeft w:val="0"/>
      <w:marRight w:val="0"/>
      <w:marTop w:val="0"/>
      <w:marBottom w:val="0"/>
      <w:divBdr>
        <w:top w:val="none" w:sz="0" w:space="0" w:color="auto"/>
        <w:left w:val="none" w:sz="0" w:space="0" w:color="auto"/>
        <w:bottom w:val="none" w:sz="0" w:space="0" w:color="auto"/>
        <w:right w:val="none" w:sz="0" w:space="0" w:color="auto"/>
      </w:divBdr>
    </w:div>
    <w:div w:id="1923172969">
      <w:bodyDiv w:val="1"/>
      <w:marLeft w:val="0"/>
      <w:marRight w:val="0"/>
      <w:marTop w:val="0"/>
      <w:marBottom w:val="0"/>
      <w:divBdr>
        <w:top w:val="none" w:sz="0" w:space="0" w:color="auto"/>
        <w:left w:val="none" w:sz="0" w:space="0" w:color="auto"/>
        <w:bottom w:val="none" w:sz="0" w:space="0" w:color="auto"/>
        <w:right w:val="none" w:sz="0" w:space="0" w:color="auto"/>
      </w:divBdr>
      <w:divsChild>
        <w:div w:id="1205370355">
          <w:marLeft w:val="0"/>
          <w:marRight w:val="0"/>
          <w:marTop w:val="0"/>
          <w:marBottom w:val="0"/>
          <w:divBdr>
            <w:top w:val="none" w:sz="0" w:space="0" w:color="auto"/>
            <w:left w:val="none" w:sz="0" w:space="0" w:color="auto"/>
            <w:bottom w:val="none" w:sz="0" w:space="0" w:color="auto"/>
            <w:right w:val="none" w:sz="0" w:space="0" w:color="auto"/>
          </w:divBdr>
        </w:div>
      </w:divsChild>
    </w:div>
    <w:div w:id="1932467733">
      <w:bodyDiv w:val="1"/>
      <w:marLeft w:val="0"/>
      <w:marRight w:val="0"/>
      <w:marTop w:val="0"/>
      <w:marBottom w:val="0"/>
      <w:divBdr>
        <w:top w:val="none" w:sz="0" w:space="0" w:color="auto"/>
        <w:left w:val="none" w:sz="0" w:space="0" w:color="auto"/>
        <w:bottom w:val="none" w:sz="0" w:space="0" w:color="auto"/>
        <w:right w:val="none" w:sz="0" w:space="0" w:color="auto"/>
      </w:divBdr>
    </w:div>
    <w:div w:id="1998731308">
      <w:bodyDiv w:val="1"/>
      <w:marLeft w:val="0"/>
      <w:marRight w:val="0"/>
      <w:marTop w:val="0"/>
      <w:marBottom w:val="0"/>
      <w:divBdr>
        <w:top w:val="none" w:sz="0" w:space="0" w:color="auto"/>
        <w:left w:val="none" w:sz="0" w:space="0" w:color="auto"/>
        <w:bottom w:val="none" w:sz="0" w:space="0" w:color="auto"/>
        <w:right w:val="none" w:sz="0" w:space="0" w:color="auto"/>
      </w:divBdr>
    </w:div>
    <w:div w:id="2060081172">
      <w:bodyDiv w:val="1"/>
      <w:marLeft w:val="0"/>
      <w:marRight w:val="0"/>
      <w:marTop w:val="0"/>
      <w:marBottom w:val="0"/>
      <w:divBdr>
        <w:top w:val="none" w:sz="0" w:space="0" w:color="auto"/>
        <w:left w:val="none" w:sz="0" w:space="0" w:color="auto"/>
        <w:bottom w:val="none" w:sz="0" w:space="0" w:color="auto"/>
        <w:right w:val="none" w:sz="0" w:space="0" w:color="auto"/>
      </w:divBdr>
      <w:divsChild>
        <w:div w:id="637299169">
          <w:marLeft w:val="547"/>
          <w:marRight w:val="0"/>
          <w:marTop w:val="0"/>
          <w:marBottom w:val="0"/>
          <w:divBdr>
            <w:top w:val="none" w:sz="0" w:space="0" w:color="auto"/>
            <w:left w:val="none" w:sz="0" w:space="0" w:color="auto"/>
            <w:bottom w:val="none" w:sz="0" w:space="0" w:color="auto"/>
            <w:right w:val="none" w:sz="0" w:space="0" w:color="auto"/>
          </w:divBdr>
        </w:div>
      </w:divsChild>
    </w:div>
    <w:div w:id="211825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03CBC2-011A-47B2-A600-1B4EF69E68B6}">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3C41A-41FD-4EA4-8508-D9CD9826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35375</Words>
  <Characters>229587</Characters>
  <Application>Microsoft Office Word</Application>
  <DocSecurity>0</DocSecurity>
  <Lines>4027</Lines>
  <Paragraphs>1488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hp</cp:lastModifiedBy>
  <cp:revision>18</cp:revision>
  <dcterms:created xsi:type="dcterms:W3CDTF">2025-09-17T06:47:00Z</dcterms:created>
  <dcterms:modified xsi:type="dcterms:W3CDTF">2025-09-24T08:12:00Z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http://csl.mendeley.com/styles/605979641/apa</vt:lpwstr>
  </property>
  <property fmtid="{D5CDD505-2E9C-101B-9397-08002B2CF9AE}" pid="9" name="Mendeley Recent Style Name 3_1">
    <vt:lpwstr>American Psychological Association 7th edition - Ahmad Sugiono</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cab49eee-c05b-35ae-ab79-05c920ffb736</vt:lpwstr>
  </property>
  <property fmtid="{D5CDD505-2E9C-101B-9397-08002B2CF9AE}" pid="24" name="Mendeley Citation Style_1">
    <vt:lpwstr>http://www.zotero.org/styles/elsevier-harvard</vt:lpwstr>
  </property>
  <property fmtid="{D5CDD505-2E9C-101B-9397-08002B2CF9AE}" pid="25" name="GrammarlyDocumentId">
    <vt:lpwstr>6ea97f0a-0f59-4bea-b17a-b679f041fa10</vt:lpwstr>
  </property>
</Properties>
</file>